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460B7093" w:rsidR="00532620" w:rsidRDefault="003923A6" w:rsidP="00532620">
      <w:pPr>
        <w:jc w:val="center"/>
        <w:rPr>
          <w:rFonts w:cs="Times New Roman"/>
          <w:b/>
          <w:caps/>
          <w:szCs w:val="20"/>
        </w:rPr>
      </w:pPr>
      <w:r>
        <w:rPr>
          <w:rFonts w:cs="Times New Roman"/>
          <w:b/>
          <w:caps/>
          <w:szCs w:val="20"/>
        </w:rPr>
        <w:t>An approach for assigning stock of origin to tag</w:t>
      </w:r>
      <w:r w:rsidR="006E4B5F">
        <w:rPr>
          <w:rFonts w:cs="Times New Roman"/>
          <w:b/>
          <w:caps/>
          <w:szCs w:val="20"/>
        </w:rPr>
        <w:t xml:space="preserve"> TRACKS USING</w:t>
      </w:r>
      <w:r>
        <w:rPr>
          <w:rFonts w:cs="Times New Roman"/>
          <w:b/>
          <w:caps/>
          <w:szCs w:val="20"/>
        </w:rPr>
        <w:t xml:space="preserve"> stock specific movement</w:t>
      </w:r>
    </w:p>
    <w:p w14:paraId="62D0DA79" w14:textId="77777777" w:rsidR="00532620" w:rsidRPr="00532620" w:rsidRDefault="00532620" w:rsidP="00532620">
      <w:pPr>
        <w:jc w:val="center"/>
        <w:rPr>
          <w:rFonts w:cs="Times New Roman"/>
          <w:b/>
          <w:caps/>
          <w:szCs w:val="20"/>
        </w:rPr>
      </w:pPr>
    </w:p>
    <w:p w14:paraId="663DADF2" w14:textId="71BF1E20" w:rsidR="004E17B7" w:rsidRPr="0083529C" w:rsidRDefault="004E17B7" w:rsidP="004E17B7">
      <w:pPr>
        <w:jc w:val="center"/>
        <w:rPr>
          <w:rFonts w:cs="Times New Roman"/>
          <w:szCs w:val="20"/>
        </w:rPr>
      </w:pPr>
      <w:r w:rsidRPr="00D03AE8">
        <w:rPr>
          <w:rFonts w:cs="Times New Roman"/>
          <w:szCs w:val="20"/>
        </w:rPr>
        <w:t>Tom Carruthers</w:t>
      </w:r>
      <w:r w:rsidRPr="0083529C">
        <w:rPr>
          <w:rStyle w:val="FootnoteReference"/>
          <w:rFonts w:cs="Times New Roman"/>
          <w:szCs w:val="20"/>
        </w:rPr>
        <w:footnoteReference w:id="1"/>
      </w:r>
      <w:r>
        <w:rPr>
          <w:rFonts w:cs="Times New Roman"/>
          <w:szCs w:val="20"/>
        </w:rPr>
        <w:t xml:space="preserve"> </w:t>
      </w:r>
    </w:p>
    <w:p w14:paraId="7D36CA49" w14:textId="77777777" w:rsidR="00532620" w:rsidRDefault="00532620" w:rsidP="00532620">
      <w:pPr>
        <w:jc w:val="center"/>
        <w:rPr>
          <w:rFonts w:cs="Times New Roman"/>
          <w:i/>
          <w:szCs w:val="20"/>
        </w:rPr>
      </w:pPr>
    </w:p>
    <w:p w14:paraId="39FB446A" w14:textId="77777777" w:rsidR="00532620" w:rsidRDefault="00532620" w:rsidP="00532620">
      <w:pPr>
        <w:jc w:val="center"/>
        <w:rPr>
          <w:rFonts w:cs="Times New Roman"/>
          <w:i/>
          <w:szCs w:val="20"/>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3CA2F675" w:rsidR="00043093" w:rsidRDefault="003E4FCD" w:rsidP="00043093">
      <w:pPr>
        <w:ind w:left="709" w:right="663"/>
        <w:jc w:val="both"/>
        <w:rPr>
          <w:rFonts w:cs="Times New Roman"/>
          <w:szCs w:val="20"/>
        </w:rPr>
      </w:pPr>
      <w:proofErr w:type="gramStart"/>
      <w:r>
        <w:rPr>
          <w:rFonts w:cs="Times New Roman"/>
          <w:szCs w:val="20"/>
        </w:rPr>
        <w:t>We.</w:t>
      </w:r>
      <w:proofErr w:type="gramEnd"/>
      <w:r>
        <w:rPr>
          <w:rFonts w:cs="Times New Roman"/>
          <w:szCs w:val="20"/>
        </w:rPr>
        <w:t xml:space="preserve">  </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6BF350A4" w:rsidR="00532620" w:rsidRDefault="003E4FCD" w:rsidP="00D24E3B">
      <w:pPr>
        <w:ind w:left="709" w:right="663"/>
        <w:jc w:val="center"/>
        <w:rPr>
          <w:rFonts w:cs="Times New Roman"/>
          <w:i/>
          <w:szCs w:val="20"/>
        </w:rPr>
      </w:pPr>
      <w:r w:rsidRPr="00344FA6">
        <w:rPr>
          <w:rFonts w:cs="Times New Roman"/>
          <w:i/>
          <w:szCs w:val="20"/>
        </w:rPr>
        <w:t xml:space="preserve">Population modelling, </w:t>
      </w:r>
      <w:r w:rsidR="00043093" w:rsidRPr="00344FA6">
        <w:rPr>
          <w:rFonts w:cs="Times New Roman"/>
          <w:i/>
          <w:szCs w:val="20"/>
        </w:rPr>
        <w:t>fishery statistics, tagging</w:t>
      </w:r>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15B49A44" w14:textId="525A88D0" w:rsidR="002F5DBD" w:rsidRDefault="006E4B5F" w:rsidP="004756EC">
      <w:r>
        <w:t xml:space="preserve">Electronic tagging experiments have provided invaluable information regarding the ecology, migration and stock composition of Atlantic </w:t>
      </w:r>
      <w:proofErr w:type="spellStart"/>
      <w:r>
        <w:t>bluefin</w:t>
      </w:r>
      <w:proofErr w:type="spellEnd"/>
      <w:r>
        <w:t xml:space="preserve"> tuna (REFS). Electronic tagging data are a principal source of data for identifying plausible hypotheses for</w:t>
      </w:r>
      <w:r w:rsidRPr="006E4B5F">
        <w:t xml:space="preserve"> </w:t>
      </w:r>
      <w:r>
        <w:t>stock mixing and movement</w:t>
      </w:r>
      <w:r>
        <w:t xml:space="preserve"> that may be included in </w:t>
      </w:r>
      <w:r w:rsidR="00DF4318" w:rsidRPr="004E17B7">
        <w:t xml:space="preserve">Management Strategy Evaluation (MSE, </w:t>
      </w:r>
      <w:r w:rsidR="00951331" w:rsidRPr="004E17B7">
        <w:t>Butterworth 1999</w:t>
      </w:r>
      <w:r w:rsidR="00DF4318" w:rsidRPr="004E17B7">
        <w:t>,</w:t>
      </w:r>
      <w:r w:rsidR="00951331" w:rsidRPr="004E17B7">
        <w:t xml:space="preserve"> Cochrane 1998</w:t>
      </w:r>
      <w:r w:rsidR="00894973" w:rsidRPr="004E17B7">
        <w:t>, Punt et al. 2014</w:t>
      </w:r>
      <w:r w:rsidR="00DF4318" w:rsidRPr="004E17B7">
        <w:t xml:space="preserve">) </w:t>
      </w:r>
      <w:r>
        <w:t xml:space="preserve">to identify robust management approaches </w:t>
      </w:r>
      <w:r w:rsidR="0050335F" w:rsidRPr="004E17B7">
        <w:t>(SCRS 2013</w:t>
      </w:r>
      <w:r>
        <w:t xml:space="preserve">). </w:t>
      </w:r>
    </w:p>
    <w:p w14:paraId="7802972E" w14:textId="77777777" w:rsidR="006E4B5F" w:rsidRDefault="006E4B5F" w:rsidP="004756EC"/>
    <w:p w14:paraId="6D4F12A6" w14:textId="77777777" w:rsidR="00C10ECE" w:rsidRDefault="006E4B5F" w:rsidP="004756EC">
      <w:r>
        <w:t>A principal obstruction to the use of electronic tagging in multi</w:t>
      </w:r>
      <w:r w:rsidR="00220820">
        <w:t>-</w:t>
      </w:r>
      <w:r>
        <w:t xml:space="preserve">stock population dynamics models is that a large fraction </w:t>
      </w:r>
      <w:r w:rsidR="00C10ECE">
        <w:t xml:space="preserve">of electronic tag tracks </w:t>
      </w:r>
      <w:r>
        <w:t>cannot be reliably assigned to a partic</w:t>
      </w:r>
      <w:r w:rsidR="00220820">
        <w:t>ular stock (e.g. Eastern spawning in the Mediterrane</w:t>
      </w:r>
      <w:r>
        <w:t xml:space="preserve">an, Western </w:t>
      </w:r>
      <w:r w:rsidR="00220820">
        <w:t xml:space="preserve">spawning in the </w:t>
      </w:r>
      <w:r>
        <w:t>Gulf of Mexico</w:t>
      </w:r>
      <w:r w:rsidR="00220820">
        <w:t xml:space="preserve"> and slope sea). </w:t>
      </w:r>
      <w:r w:rsidR="00C10ECE">
        <w:t xml:space="preserve">The exceptions are instances where a tag is found in an area exclusive to one stock or has covariate data (e.g. otolith microchemistry, XXX) with which to designate a stock of origin. </w:t>
      </w:r>
    </w:p>
    <w:p w14:paraId="38AFCCE8" w14:textId="77777777" w:rsidR="00C10ECE" w:rsidRDefault="00C10ECE" w:rsidP="004756EC"/>
    <w:p w14:paraId="3B5076DE" w14:textId="77777777" w:rsidR="00C10ECE" w:rsidRDefault="00C10ECE" w:rsidP="004756EC">
      <w:r>
        <w:t>In this paper an approach is outlines in which movement matrices for fish of known stock are used to assign stock of origin to tags of unknown stock of origin.</w:t>
      </w:r>
    </w:p>
    <w:p w14:paraId="52EA83C2" w14:textId="77777777" w:rsidR="00C10ECE" w:rsidRDefault="00C10ECE" w:rsidP="004756EC"/>
    <w:p w14:paraId="4EFC7CA9" w14:textId="77777777" w:rsidR="003173A4" w:rsidRDefault="003173A4" w:rsidP="004756EC"/>
    <w:p w14:paraId="2A0890EC" w14:textId="4FD0B412" w:rsidR="002F5DBD" w:rsidRDefault="003173A4" w:rsidP="002F5DBD">
      <w:pPr>
        <w:pStyle w:val="Heading1"/>
      </w:pPr>
      <w:r>
        <w:t>Methods</w:t>
      </w:r>
    </w:p>
    <w:p w14:paraId="679A63EF" w14:textId="5E222205" w:rsidR="007A013E" w:rsidRDefault="00C10ECE" w:rsidP="00AA0CF4">
      <w:pPr>
        <w:pStyle w:val="Heading2"/>
      </w:pPr>
      <w:r>
        <w:t xml:space="preserve">Deriving movement matrices for stocks </w:t>
      </w:r>
    </w:p>
    <w:p w14:paraId="60560F1A" w14:textId="77777777" w:rsidR="007A013E" w:rsidRDefault="007A013E" w:rsidP="007A013E"/>
    <w:p w14:paraId="5E800C9B" w14:textId="77777777" w:rsidR="00C10ECE" w:rsidRPr="00C10ECE" w:rsidRDefault="00C10ECE" w:rsidP="007A013E">
      <w:pPr>
        <w:rPr>
          <w:i/>
        </w:rPr>
      </w:pPr>
      <w:r w:rsidRPr="00C10ECE">
        <w:rPr>
          <w:i/>
        </w:rPr>
        <w:t xml:space="preserve">Processed data that provide the best estimate </w:t>
      </w:r>
    </w:p>
    <w:p w14:paraId="031DA160" w14:textId="77777777" w:rsidR="00C10ECE" w:rsidRDefault="00C10ECE" w:rsidP="007A013E"/>
    <w:p w14:paraId="22C4918E" w14:textId="769B5FC9" w:rsidR="00C10ECE" w:rsidRPr="00C10ECE" w:rsidRDefault="00C10ECE" w:rsidP="007A013E">
      <w:pPr>
        <w:rPr>
          <w:i/>
        </w:rPr>
      </w:pPr>
      <w:r w:rsidRPr="00C10ECE">
        <w:rPr>
          <w:i/>
        </w:rPr>
        <w:t xml:space="preserve">Raw data </w:t>
      </w:r>
    </w:p>
    <w:p w14:paraId="1E81DA2B" w14:textId="77777777" w:rsidR="00C10ECE" w:rsidRDefault="00C10ECE" w:rsidP="007A013E"/>
    <w:p w14:paraId="41B69CC1" w14:textId="77768E59" w:rsidR="00C10ECE" w:rsidRPr="00C10ECE" w:rsidRDefault="00C10ECE" w:rsidP="007A013E">
      <w:pPr>
        <w:rPr>
          <w:i/>
        </w:rPr>
      </w:pPr>
      <w:r w:rsidRPr="00C10ECE">
        <w:rPr>
          <w:i/>
        </w:rPr>
        <w:t>Modelling techniques</w:t>
      </w:r>
    </w:p>
    <w:p w14:paraId="15A85FF9" w14:textId="77777777" w:rsidR="00C10ECE" w:rsidRDefault="00C10ECE" w:rsidP="007A013E"/>
    <w:p w14:paraId="0D33FFC2" w14:textId="200EE4C7" w:rsidR="00AA0CF4" w:rsidRDefault="00C10ECE" w:rsidP="00AA0CF4">
      <w:pPr>
        <w:pStyle w:val="Heading2"/>
      </w:pPr>
      <w:r>
        <w:t>Calculating the probability of stock of origin</w:t>
      </w:r>
    </w:p>
    <w:p w14:paraId="1EE763B6" w14:textId="77777777" w:rsidR="00AA0CF4" w:rsidRDefault="00AA0CF4" w:rsidP="00AA0CF4"/>
    <w:p w14:paraId="3BE1A8A5" w14:textId="0F677257" w:rsidR="00C10ECE" w:rsidRDefault="00C10ECE" w:rsidP="00AA0CF4">
      <w:pPr>
        <w:rPr>
          <w:rFonts w:cs="Times New Roman"/>
          <w:szCs w:val="20"/>
        </w:rPr>
      </w:pPr>
      <w:r>
        <w:rPr>
          <w:rFonts w:cs="Times New Roman"/>
          <w:szCs w:val="20"/>
        </w:rPr>
        <w:t xml:space="preserve">If a vector v where </w:t>
      </w:r>
      <w:bookmarkStart w:id="0" w:name="_GoBack"/>
      <w:bookmarkEnd w:id="0"/>
      <w:r>
        <w:rPr>
          <w:rFonts w:cs="Times New Roman"/>
          <w:szCs w:val="20"/>
        </w:rPr>
        <w:t xml:space="preserve">is recursively multiplied by </w:t>
      </w:r>
    </w:p>
    <w:p w14:paraId="5B0F8D18" w14:textId="77777777" w:rsidR="00C10ECE" w:rsidRDefault="00C10ECE" w:rsidP="00AA0CF4">
      <w:pPr>
        <w:rPr>
          <w:rFonts w:cs="Times New Roman"/>
          <w:szCs w:val="20"/>
        </w:rPr>
      </w:pPr>
    </w:p>
    <w:p w14:paraId="3E6718F9" w14:textId="3BFEDFEF" w:rsidR="001F6BC1" w:rsidRDefault="00C10ECE" w:rsidP="00AA0CF4">
      <w:pPr>
        <w:rPr>
          <w:rFonts w:cs="Times New Roman"/>
          <w:szCs w:val="20"/>
        </w:rPr>
      </w:pPr>
      <w:r>
        <w:rPr>
          <w:rFonts w:cs="Times New Roman"/>
          <w:szCs w:val="20"/>
        </w:rPr>
        <w:t>The conditional probability of an individual of stock s, moving from an area r to an area k at the start of season m</w:t>
      </w:r>
    </w:p>
    <w:p w14:paraId="69789448" w14:textId="77777777" w:rsidR="00C10ECE" w:rsidRDefault="00C10ECE" w:rsidP="00AA0CF4">
      <w:pPr>
        <w:rPr>
          <w:rFonts w:cs="Times New Roman"/>
          <w:szCs w:val="20"/>
        </w:rPr>
      </w:pPr>
    </w:p>
    <w:p w14:paraId="51DD6C1E" w14:textId="77777777" w:rsidR="00C10ECE" w:rsidRPr="007A013E" w:rsidRDefault="00C10ECE" w:rsidP="00AA0CF4">
      <w:pPr>
        <w:rPr>
          <w:rFonts w:cs="Times New Roman"/>
          <w:szCs w:val="20"/>
        </w:rPr>
      </w:pPr>
    </w:p>
    <w:p w14:paraId="0D3AB395" w14:textId="6E5988BA" w:rsidR="007A013E" w:rsidRPr="007A013E" w:rsidRDefault="00C10ECE" w:rsidP="00AA0CF4">
      <w:pPr>
        <w:rPr>
          <w:rFonts w:cs="Times New Roman"/>
          <w:szCs w:val="20"/>
        </w:rPr>
      </w:pPr>
      <m:oMath>
        <m:func>
          <m:funcPr>
            <m:ctrlPr>
              <w:rPr>
                <w:rFonts w:ascii="Cambria Math" w:eastAsiaTheme="minorEastAsia" w:hAnsi="Cambria Math" w:cs="Times New Roman"/>
                <w:i/>
                <w:iCs/>
                <w:kern w:val="24"/>
                <w:szCs w:val="20"/>
              </w:rPr>
            </m:ctrlPr>
          </m:funcPr>
          <m:fName>
            <m:r>
              <m:rPr>
                <m:sty m:val="p"/>
              </m:rPr>
              <w:rPr>
                <w:rFonts w:ascii="Cambria Math" w:eastAsiaTheme="minorEastAsia" w:hAnsi="Cambria Math" w:cs="Times New Roman"/>
                <w:kern w:val="24"/>
                <w:szCs w:val="20"/>
                <w:lang w:val="en-ZA"/>
              </w:rPr>
              <m:t>log</m:t>
            </m:r>
          </m:fName>
          <m:e>
            <m:d>
              <m:dPr>
                <m:ctrlPr>
                  <w:rPr>
                    <w:rFonts w:ascii="Cambria Math" w:eastAsiaTheme="minorEastAsia" w:hAnsi="Cambria Math" w:cs="Times New Roman"/>
                    <w:i/>
                    <w:iCs/>
                    <w:kern w:val="24"/>
                    <w:szCs w:val="20"/>
                  </w:rPr>
                </m:ctrlPr>
              </m:dPr>
              <m:e>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CPUE</m:t>
                    </m:r>
                  </m:e>
                  <m:sub>
                    <m:r>
                      <w:rPr>
                        <w:rFonts w:ascii="Cambria Math" w:eastAsiaTheme="minorEastAsia" w:hAnsi="Cambria Math" w:cs="Times New Roman"/>
                        <w:kern w:val="24"/>
                        <w:szCs w:val="20"/>
                        <w:lang w:val="en-ZA"/>
                      </w:rPr>
                      <m:t>y,r,m,f</m:t>
                    </m:r>
                  </m:sub>
                </m:sSub>
              </m:e>
            </m:d>
          </m:e>
        </m:func>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α</m:t>
            </m:r>
          </m:e>
          <m:sub>
            <m:r>
              <w:rPr>
                <w:rFonts w:ascii="Cambria Math" w:eastAsiaTheme="minorEastAsia" w:hAnsi="Cambria Math" w:cs="Times New Roman"/>
                <w:kern w:val="24"/>
                <w:szCs w:val="20"/>
                <w:lang w:val="en-ZA"/>
              </w:rPr>
              <m:t>y,r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β</m:t>
            </m:r>
          </m:e>
          <m:sub>
            <m:r>
              <w:rPr>
                <w:rFonts w:ascii="Cambria Math" w:eastAsiaTheme="minorEastAsia" w:hAnsi="Cambria Math" w:cs="Times New Roman"/>
                <w:kern w:val="24"/>
                <w:szCs w:val="20"/>
                <w:lang w:val="en-ZA"/>
              </w:rPr>
              <m:t>m,r</m:t>
            </m:r>
          </m:sub>
        </m:sSub>
        <m:r>
          <w:rPr>
            <w:rFonts w:ascii="Cambria Math" w:eastAsiaTheme="minorEastAsia" w:hAnsi="Cambria Math" w:cs="Times New Roman"/>
            <w:kern w:val="24"/>
            <w:szCs w:val="20"/>
            <w:lang w:val="en-ZA"/>
          </w:rPr>
          <m:t>+</m:t>
        </m:r>
        <m:sSub>
          <m:sSubPr>
            <m:ctrlPr>
              <w:rPr>
                <w:rFonts w:ascii="Cambria Math" w:eastAsiaTheme="minorEastAsia" w:hAnsi="Cambria Math" w:cs="Times New Roman"/>
                <w:i/>
                <w:iCs/>
                <w:kern w:val="24"/>
                <w:szCs w:val="20"/>
              </w:rPr>
            </m:ctrlPr>
          </m:sSubPr>
          <m:e>
            <m:r>
              <w:rPr>
                <w:rFonts w:ascii="Cambria Math" w:eastAsiaTheme="minorEastAsia" w:hAnsi="Cambria Math" w:cs="Times New Roman"/>
                <w:kern w:val="24"/>
                <w:szCs w:val="20"/>
                <w:lang w:val="en-ZA"/>
              </w:rPr>
              <m:t>δ</m:t>
            </m:r>
          </m:e>
          <m:sub>
            <m:r>
              <w:rPr>
                <w:rFonts w:ascii="Cambria Math" w:eastAsiaTheme="minorEastAsia" w:hAnsi="Cambria Math" w:cs="Times New Roman"/>
                <w:kern w:val="24"/>
                <w:szCs w:val="20"/>
                <w:lang w:val="en-ZA"/>
              </w:rPr>
              <m:t>f</m:t>
            </m:r>
          </m:sub>
        </m:sSub>
        <m:r>
          <w:rPr>
            <w:rFonts w:ascii="Cambria Math" w:eastAsiaTheme="minorEastAsia" w:hAnsi="Cambria Math" w:cs="Times New Roman"/>
            <w:kern w:val="24"/>
            <w:szCs w:val="20"/>
            <w:lang w:val="en-ZA"/>
          </w:rPr>
          <m:t>+ε</m:t>
        </m:r>
      </m:oMath>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7A013E" w:rsidRPr="007A013E">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1F6BC1">
        <w:rPr>
          <w:rFonts w:eastAsiaTheme="minorEastAsia" w:cs="Times New Roman"/>
          <w:iCs/>
          <w:kern w:val="24"/>
          <w:szCs w:val="20"/>
          <w:lang w:val="en-ZA"/>
        </w:rPr>
        <w:tab/>
      </w:r>
      <w:r w:rsidR="007A013E" w:rsidRPr="007A013E">
        <w:rPr>
          <w:rFonts w:eastAsiaTheme="minorEastAsia" w:cs="Times New Roman"/>
          <w:iCs/>
          <w:kern w:val="24"/>
          <w:szCs w:val="20"/>
          <w:lang w:val="en-ZA"/>
        </w:rPr>
        <w:t>(1)</w:t>
      </w:r>
    </w:p>
    <w:p w14:paraId="376AC9C6" w14:textId="77777777" w:rsidR="00AA0CF4" w:rsidRDefault="00AA0CF4" w:rsidP="00AA0CF4">
      <w:pPr>
        <w:rPr>
          <w:rFonts w:cs="Times New Roman"/>
          <w:szCs w:val="20"/>
        </w:rPr>
      </w:pPr>
    </w:p>
    <w:p w14:paraId="7BDF3E54" w14:textId="77777777" w:rsidR="001F6BC1" w:rsidRPr="007A013E" w:rsidRDefault="001F6BC1" w:rsidP="00AA0CF4">
      <w:pPr>
        <w:rPr>
          <w:rFonts w:cs="Times New Roman"/>
          <w:szCs w:val="20"/>
        </w:rPr>
      </w:pPr>
    </w:p>
    <w:p w14:paraId="3522EF80" w14:textId="77777777" w:rsidR="001F6BC1" w:rsidRDefault="001F6BC1" w:rsidP="00AA0CF4"/>
    <w:p w14:paraId="08D3810B" w14:textId="143C543E" w:rsidR="001F6BC1" w:rsidRDefault="00C10ECE" w:rsidP="00C94730">
      <w:pPr>
        <w:pStyle w:val="Heading2"/>
      </w:pPr>
      <w:r>
        <w:t>Cross validation</w:t>
      </w:r>
    </w:p>
    <w:p w14:paraId="2FDD82E3" w14:textId="77777777" w:rsidR="007022A4" w:rsidRDefault="007022A4" w:rsidP="007022A4"/>
    <w:p w14:paraId="2191817A" w14:textId="77777777" w:rsidR="001F6BC1" w:rsidRPr="001F6BC1" w:rsidRDefault="001F6BC1" w:rsidP="001F6BC1"/>
    <w:p w14:paraId="6620F711" w14:textId="09007CE1" w:rsidR="001F6BC1" w:rsidRDefault="001F6BC1" w:rsidP="002F5DBD">
      <w:pPr>
        <w:pStyle w:val="Heading1"/>
      </w:pPr>
      <w:r>
        <w:t>Results</w:t>
      </w:r>
    </w:p>
    <w:p w14:paraId="72C36980" w14:textId="076C27C2" w:rsidR="001F6BC1" w:rsidRDefault="001F6BC1" w:rsidP="001F6BC1">
      <w:pPr>
        <w:pStyle w:val="Heading2"/>
      </w:pPr>
      <w:r>
        <w:t>Model fit to relative abundance data</w:t>
      </w:r>
    </w:p>
    <w:p w14:paraId="3587D1F7" w14:textId="77777777" w:rsidR="00EC4C81" w:rsidRDefault="00EC4C81" w:rsidP="00EC4C81"/>
    <w:p w14:paraId="2B1C943F" w14:textId="4C03E739" w:rsidR="00C42C69" w:rsidRPr="00EC4C81" w:rsidRDefault="00EC4C81" w:rsidP="00EC4C81">
      <w:r>
        <w:t>The model comprehensively fails to fit initial declines in biomass in the north east Atlantic that were inferred by the master index</w:t>
      </w:r>
      <w:r w:rsidR="00C86D0E">
        <w:t xml:space="preserve"> (Figure 2)</w:t>
      </w:r>
      <w:r>
        <w:t xml:space="preserve">. This points to model misspecification that could be </w:t>
      </w:r>
      <w:r w:rsidR="00C86D0E">
        <w:t xml:space="preserve">addressed by some of the changes proposed by the MSE CMG such as the </w:t>
      </w:r>
      <w:r w:rsidR="008E5E0C">
        <w:t>initialization of the model on</w:t>
      </w:r>
      <w:r w:rsidR="00C86D0E">
        <w:t xml:space="preserve"> early </w:t>
      </w:r>
      <w:r w:rsidR="00C86D0E" w:rsidRPr="008E5E0C">
        <w:rPr>
          <w:i/>
        </w:rPr>
        <w:t>F</w:t>
      </w:r>
      <w:r w:rsidR="00C86D0E">
        <w:t xml:space="preserve"> estimates. However the most likely cause of this misfit is either the prescription of overly strong recruitment compensation (steepness to high) or (most likely) the incorrect derivation of the master index that infers overly strong stock depletion or incorrect spatial distribution.  </w:t>
      </w:r>
      <w:r w:rsidR="00C42C69">
        <w:t xml:space="preserve">It may also be </w:t>
      </w:r>
      <w:r w:rsidR="008E5E0C">
        <w:t>the case that the stock decline</w:t>
      </w:r>
      <w:r w:rsidR="00C42C69">
        <w:t xml:space="preserve"> inferred by the master index is not well reflected in the age-composition data </w:t>
      </w:r>
      <w:r w:rsidR="001E4B58">
        <w:t xml:space="preserve">which do not appear to exhibit significant </w:t>
      </w:r>
      <w:r w:rsidR="008E5E0C">
        <w:t xml:space="preserve">length attrition over time that may be expected given the declines inferred by the master index </w:t>
      </w:r>
      <w:r w:rsidR="00C42C69">
        <w:t>(Figures 4- 7)</w:t>
      </w:r>
      <w:r w:rsidR="001E4B58">
        <w:t>.</w:t>
      </w:r>
    </w:p>
    <w:p w14:paraId="43717B70" w14:textId="74DB3515" w:rsidR="001F6BC1" w:rsidRDefault="001F6BC1" w:rsidP="001F6BC1">
      <w:pPr>
        <w:pStyle w:val="Heading2"/>
      </w:pPr>
      <w:r>
        <w:t>Model fit to total catch data</w:t>
      </w:r>
    </w:p>
    <w:p w14:paraId="65A89248" w14:textId="77777777" w:rsidR="00C86D0E" w:rsidRDefault="00C86D0E" w:rsidP="00C86D0E"/>
    <w:p w14:paraId="3BA8368D" w14:textId="2244C161" w:rsidR="00C42C69" w:rsidRDefault="00C86D0E" w:rsidP="00C42C69">
      <w:r>
        <w:t xml:space="preserve">In general the model fits observed catches very well </w:t>
      </w:r>
      <w:r w:rsidR="00C42C69">
        <w:t xml:space="preserve">(Figure 3) which is to be expected given the derivation of standardized effort (the partial </w:t>
      </w:r>
      <w:r w:rsidR="00C42C69" w:rsidRPr="00C42C69">
        <w:rPr>
          <w:i/>
        </w:rPr>
        <w:t>F</w:t>
      </w:r>
      <w:r w:rsidR="00C42C69">
        <w:t xml:space="preserve"> covariate). There is some overestimation of catches in the early period from 1960-1970 where the model attempts to inflate fishing mortality rates to match expected stock declines. </w:t>
      </w:r>
    </w:p>
    <w:p w14:paraId="7220DDE6" w14:textId="3F419790" w:rsidR="001F6BC1" w:rsidRDefault="001F6BC1" w:rsidP="00C42C69">
      <w:pPr>
        <w:pStyle w:val="Heading2"/>
      </w:pPr>
      <w:r>
        <w:lastRenderedPageBreak/>
        <w:t>Model fit to length composition data</w:t>
      </w:r>
    </w:p>
    <w:p w14:paraId="12B8235B" w14:textId="77777777" w:rsidR="001F6BC1" w:rsidRDefault="001F6BC1" w:rsidP="001F6BC1"/>
    <w:p w14:paraId="34305245" w14:textId="1A53B195" w:rsidR="005437D9" w:rsidRDefault="00067A24" w:rsidP="001F6BC1">
      <w:r>
        <w:t xml:space="preserve">The time-invariant selectivity of the trap </w:t>
      </w:r>
      <w:r w:rsidR="00733AB3">
        <w:t>fleet</w:t>
      </w:r>
      <w:r>
        <w:t xml:space="preserve"> general fails to accommodate some very marked shifts in length composition data</w:t>
      </w:r>
      <w:r w:rsidR="00F16A2B">
        <w:t xml:space="preserve"> (Figure 4)</w:t>
      </w:r>
      <w:r>
        <w:t>. For example in 2003</w:t>
      </w:r>
      <w:r w:rsidR="005437D9">
        <w:t>,</w:t>
      </w:r>
      <w:r>
        <w:t xml:space="preserve"> 2500</w:t>
      </w:r>
      <w:r w:rsidR="00F16A2B">
        <w:t xml:space="preserve"> length</w:t>
      </w:r>
      <w:r>
        <w:t xml:space="preserve"> observations had a modal length of 130cm and a pronounced positive skew. However in 200</w:t>
      </w:r>
      <w:r w:rsidR="005437D9">
        <w:t>9, just six years later 10</w:t>
      </w:r>
      <w:r w:rsidR="00733AB3">
        <w:t>,</w:t>
      </w:r>
      <w:r>
        <w:t>000 observations had a modal length of 230 cm and a negative skew.</w:t>
      </w:r>
      <w:r w:rsidR="005437D9">
        <w:t xml:space="preserve"> These two </w:t>
      </w:r>
      <w:r w:rsidR="00733AB3">
        <w:t>catch at size frequency</w:t>
      </w:r>
      <w:r w:rsidR="005437D9">
        <w:t xml:space="preserve"> distributions barely overlap.</w:t>
      </w:r>
      <w:r>
        <w:t xml:space="preserve"> Similar inconsistencies can be observed in trap composition data going back to </w:t>
      </w:r>
      <w:r w:rsidR="00F16A2B">
        <w:t xml:space="preserve">1993. </w:t>
      </w:r>
    </w:p>
    <w:p w14:paraId="38D760B6" w14:textId="77777777" w:rsidR="005437D9" w:rsidRDefault="005437D9" w:rsidP="001F6BC1"/>
    <w:p w14:paraId="353E297D" w14:textId="7E9A8388" w:rsidR="00067A24" w:rsidRDefault="00F16A2B" w:rsidP="001F6BC1">
      <w:r>
        <w:t>There is a</w:t>
      </w:r>
      <w:r w:rsidR="005437D9">
        <w:t>lso a</w:t>
      </w:r>
      <w:r>
        <w:t xml:space="preserve"> general tendency for the model to underestimate the size selectivity </w:t>
      </w:r>
      <w:r w:rsidR="00733AB3">
        <w:t xml:space="preserve">of the trap fleet </w:t>
      </w:r>
      <w:r>
        <w:t>which may be attributable to constraining the inflection point of the ascending limb of selectivity for the trap fishery. However</w:t>
      </w:r>
      <w:r w:rsidR="005437D9">
        <w:t xml:space="preserve"> relaxing the estimation of time-invariant selectivity would still fail to approximate</w:t>
      </w:r>
      <w:r>
        <w:t xml:space="preserve"> the very strong temporal shifts in selectivity observed in these data. The solution may be to</w:t>
      </w:r>
      <w:r w:rsidR="005437D9">
        <w:t xml:space="preserve"> investigate the data to</w:t>
      </w:r>
      <w:r>
        <w:t xml:space="preserve"> identify the source of this shift (perhaps it can be attributed to a particular flag) and further disaggregate the trap data. Alternatively, the data could be filtered to ensure it is representative of a consistent fleet type. A third alternative would be to </w:t>
      </w:r>
      <w:r w:rsidR="005437D9">
        <w:t>reparametrize</w:t>
      </w:r>
      <w:r>
        <w:t xml:space="preserve"> the operating model to remove the exact size composition that was observed in the size sample data rather than attempt to model</w:t>
      </w:r>
      <w:r w:rsidR="005437D9">
        <w:t xml:space="preserve"> this</w:t>
      </w:r>
      <w:r>
        <w:t xml:space="preserve">. </w:t>
      </w:r>
    </w:p>
    <w:p w14:paraId="4DB34252" w14:textId="77777777" w:rsidR="001F6BC1" w:rsidRDefault="001F6BC1" w:rsidP="001F6BC1"/>
    <w:p w14:paraId="71041023" w14:textId="07F02452" w:rsidR="001F6BC1" w:rsidRDefault="005437D9" w:rsidP="001F6BC1">
      <w:r>
        <w:t>Similarly to the trap fishe</w:t>
      </w:r>
      <w:r w:rsidR="00A358A5">
        <w:t>ry type, the purse seine and other fishery</w:t>
      </w:r>
      <w:r>
        <w:t xml:space="preserve"> type</w:t>
      </w:r>
      <w:r w:rsidR="00A358A5">
        <w:t>s</w:t>
      </w:r>
      <w:r>
        <w:t xml:space="preserve"> clearly exhibi</w:t>
      </w:r>
      <w:r w:rsidR="00A358A5">
        <w:t>t</w:t>
      </w:r>
      <w:r>
        <w:t xml:space="preserve"> temporally variable selectivity, this time </w:t>
      </w:r>
      <w:r w:rsidR="00A358A5">
        <w:t xml:space="preserve">in the form of a distinct </w:t>
      </w:r>
      <w:r w:rsidR="008E5E0C">
        <w:t>discontinuity</w:t>
      </w:r>
      <w:r w:rsidR="00A358A5">
        <w:t xml:space="preserve"> around</w:t>
      </w:r>
      <w:r>
        <w:t xml:space="preserve"> 1984 (Figure</w:t>
      </w:r>
      <w:r w:rsidR="00A358A5">
        <w:t>s</w:t>
      </w:r>
      <w:r>
        <w:t xml:space="preserve"> 5</w:t>
      </w:r>
      <w:r w:rsidR="00A358A5">
        <w:t xml:space="preserve"> and 7</w:t>
      </w:r>
      <w:r>
        <w:t>).</w:t>
      </w:r>
      <w:r w:rsidR="00A358A5">
        <w:t xml:space="preserve"> The longline data on the other hand had inconsistent variance and could show clear bimodality in some years possibly indicating that eastern and western longline fleets should be modelled. Again further data exploration is required to define these fleet classes to best adhere to the assumption of temporally constant size selectivity. </w:t>
      </w:r>
      <w:r>
        <w:t xml:space="preserve"> </w:t>
      </w:r>
    </w:p>
    <w:p w14:paraId="3736C20F" w14:textId="77777777" w:rsidR="005437D9" w:rsidRPr="001F6BC1" w:rsidRDefault="005437D9" w:rsidP="001F6BC1"/>
    <w:p w14:paraId="2D0DE2FB" w14:textId="20B561B7" w:rsidR="002F5DBD" w:rsidRDefault="00E0013C" w:rsidP="002F5DBD">
      <w:pPr>
        <w:pStyle w:val="Heading1"/>
      </w:pPr>
      <w:r>
        <w:t>Discussion</w:t>
      </w:r>
    </w:p>
    <w:p w14:paraId="1D2BBC56" w14:textId="31E4DDD9" w:rsidR="00D62708" w:rsidRDefault="00D62708" w:rsidP="0008077F">
      <w:pPr>
        <w:pStyle w:val="Heading2"/>
      </w:pPr>
      <w:r>
        <w:t>Issues relating to data</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7ECE1663" w14:textId="77777777" w:rsidTr="008E5E0C">
        <w:tc>
          <w:tcPr>
            <w:tcW w:w="1809" w:type="dxa"/>
            <w:shd w:val="clear" w:color="auto" w:fill="auto"/>
          </w:tcPr>
          <w:p w14:paraId="3B2D1EC9" w14:textId="77777777" w:rsidR="00733AB3" w:rsidRPr="00DF42DD" w:rsidRDefault="00733AB3" w:rsidP="0073665A">
            <w:pPr>
              <w:rPr>
                <w:b/>
              </w:rPr>
            </w:pPr>
            <w:r w:rsidRPr="00DF42DD">
              <w:rPr>
                <w:b/>
              </w:rPr>
              <w:t>Issue</w:t>
            </w:r>
          </w:p>
        </w:tc>
        <w:tc>
          <w:tcPr>
            <w:tcW w:w="7371" w:type="dxa"/>
            <w:shd w:val="clear" w:color="auto" w:fill="auto"/>
          </w:tcPr>
          <w:p w14:paraId="4D02C861" w14:textId="5E8CA806" w:rsidR="00733AB3" w:rsidRPr="00DF42DD" w:rsidRDefault="003B3485" w:rsidP="0073665A">
            <w:pPr>
              <w:rPr>
                <w:b/>
              </w:rPr>
            </w:pPr>
            <w:r w:rsidRPr="00DF42DD">
              <w:rPr>
                <w:b/>
              </w:rPr>
              <w:t>Considerations</w:t>
            </w:r>
            <w:r w:rsidR="00733AB3" w:rsidRPr="00DF42DD">
              <w:rPr>
                <w:b/>
              </w:rPr>
              <w:t xml:space="preserve"> / options</w:t>
            </w:r>
          </w:p>
        </w:tc>
      </w:tr>
      <w:tr w:rsidR="003B3485" w14:paraId="1BCAEAC7" w14:textId="77777777" w:rsidTr="008E5E0C">
        <w:tc>
          <w:tcPr>
            <w:tcW w:w="1809" w:type="dxa"/>
            <w:shd w:val="clear" w:color="auto" w:fill="auto"/>
          </w:tcPr>
          <w:p w14:paraId="17B2FADF" w14:textId="529D8F7C" w:rsidR="003B3485" w:rsidRDefault="003B3485" w:rsidP="0073665A">
            <w:r>
              <w:t>Fleet definitions</w:t>
            </w:r>
          </w:p>
        </w:tc>
        <w:tc>
          <w:tcPr>
            <w:tcW w:w="7371" w:type="dxa"/>
            <w:shd w:val="clear" w:color="auto" w:fill="auto"/>
          </w:tcPr>
          <w:p w14:paraId="484F0DA2" w14:textId="22754D08" w:rsidR="003B3485" w:rsidRPr="005914B3" w:rsidRDefault="007D4877" w:rsidP="007D4877">
            <w:r>
              <w:t xml:space="preserve">It is desirable for fleet definitions to have wide </w:t>
            </w:r>
            <w:proofErr w:type="spellStart"/>
            <w:r>
              <w:t>s</w:t>
            </w:r>
            <w:r w:rsidR="003B3485" w:rsidRPr="005914B3">
              <w:t>patio</w:t>
            </w:r>
            <w:proofErr w:type="spellEnd"/>
            <w:r w:rsidR="003B3485" w:rsidRPr="005914B3">
              <w:t xml:space="preserve">-temporal coverage (it is </w:t>
            </w:r>
            <w:r>
              <w:t xml:space="preserve">more </w:t>
            </w:r>
            <w:r w:rsidR="003B3485" w:rsidRPr="005914B3">
              <w:t>informative) but fleet definitions should represent relatively constant selectivity</w:t>
            </w:r>
            <w:r w:rsidR="000E6A92" w:rsidRPr="005914B3">
              <w:t xml:space="preserve"> (trade-off between information content and assumption of constant selectivity). An additional trade-off is that between the number of fleets (computation / model running time) and </w:t>
            </w:r>
            <w:r w:rsidR="00B57376" w:rsidRPr="005914B3">
              <w:t xml:space="preserve">the assumption of constant selectivity. </w:t>
            </w:r>
            <w:r w:rsidR="000E6A92" w:rsidRPr="005914B3">
              <w:t>Methods for establishing suitable fleet definitions by time, area and gear type</w:t>
            </w:r>
            <w:r w:rsidR="00B57376" w:rsidRPr="005914B3">
              <w:t xml:space="preserve"> (E.g. western </w:t>
            </w:r>
            <w:proofErr w:type="spellStart"/>
            <w:r w:rsidR="00B57376" w:rsidRPr="005914B3">
              <w:t>longliners</w:t>
            </w:r>
            <w:proofErr w:type="spellEnd"/>
            <w:r w:rsidR="00B57376" w:rsidRPr="005914B3">
              <w:t xml:space="preserve"> pre 1985)</w:t>
            </w:r>
            <w:r w:rsidR="000E6A92" w:rsidRPr="005914B3">
              <w:t xml:space="preserve"> should be investigated. </w:t>
            </w:r>
          </w:p>
        </w:tc>
      </w:tr>
      <w:tr w:rsidR="00733AB3" w14:paraId="48348BE4" w14:textId="77777777" w:rsidTr="008E5E0C">
        <w:tc>
          <w:tcPr>
            <w:tcW w:w="1809" w:type="dxa"/>
            <w:shd w:val="clear" w:color="auto" w:fill="auto"/>
          </w:tcPr>
          <w:p w14:paraId="30A5D8A3" w14:textId="078F09FB" w:rsidR="00733AB3" w:rsidRDefault="00733AB3" w:rsidP="0073665A">
            <w:r>
              <w:t>Filtering of catch composition data</w:t>
            </w:r>
          </w:p>
        </w:tc>
        <w:tc>
          <w:tcPr>
            <w:tcW w:w="7371" w:type="dxa"/>
            <w:shd w:val="clear" w:color="auto" w:fill="auto"/>
          </w:tcPr>
          <w:p w14:paraId="6574AD98" w14:textId="70E9B9AC" w:rsidR="00733AB3" w:rsidRPr="005914B3" w:rsidRDefault="003B3485" w:rsidP="008072A0">
            <w:r w:rsidRPr="005914B3">
              <w:t>It may be necessary to check size data f</w:t>
            </w:r>
            <w:r w:rsidR="000E6A92" w:rsidRPr="005914B3">
              <w:t xml:space="preserve">or spurious entries / outliers. </w:t>
            </w:r>
            <w:r w:rsidR="005914B3">
              <w:t>A</w:t>
            </w:r>
            <w:r w:rsidR="000E6A92" w:rsidRPr="005914B3">
              <w:t>greed guidelines for the filtering of size composition data</w:t>
            </w:r>
            <w:r w:rsidR="005914B3">
              <w:t xml:space="preserve"> </w:t>
            </w:r>
            <w:r w:rsidR="008072A0">
              <w:t>would be desirable</w:t>
            </w:r>
            <w:r w:rsidR="005914B3">
              <w:t xml:space="preserve">. </w:t>
            </w:r>
          </w:p>
        </w:tc>
      </w:tr>
      <w:tr w:rsidR="00733AB3" w14:paraId="1DDEE627" w14:textId="77777777" w:rsidTr="008E5E0C">
        <w:tc>
          <w:tcPr>
            <w:tcW w:w="1809" w:type="dxa"/>
            <w:shd w:val="clear" w:color="auto" w:fill="auto"/>
          </w:tcPr>
          <w:p w14:paraId="22E78458" w14:textId="157E875A" w:rsidR="00733AB3" w:rsidRDefault="00733AB3" w:rsidP="0073665A">
            <w:r>
              <w:t>Resolution of size frequency data (bin width, e.g. 10cm)</w:t>
            </w:r>
          </w:p>
        </w:tc>
        <w:tc>
          <w:tcPr>
            <w:tcW w:w="7371" w:type="dxa"/>
            <w:shd w:val="clear" w:color="auto" w:fill="auto"/>
          </w:tcPr>
          <w:p w14:paraId="26CCE7A2" w14:textId="48CF4A6D" w:rsidR="00733AB3" w:rsidRPr="005914B3" w:rsidRDefault="003B3485" w:rsidP="000E6A92">
            <w:r w:rsidRPr="005914B3">
              <w:t xml:space="preserve">As the resolution (bin </w:t>
            </w:r>
            <w:r w:rsidR="007E7059" w:rsidRPr="005914B3">
              <w:t xml:space="preserve">width) of the length frequency </w:t>
            </w:r>
            <w:r w:rsidRPr="005914B3">
              <w:t xml:space="preserve">data and the </w:t>
            </w:r>
            <w:proofErr w:type="spellStart"/>
            <w:r w:rsidRPr="005914B3">
              <w:t>iALK</w:t>
            </w:r>
            <w:proofErr w:type="spellEnd"/>
            <w:r w:rsidRPr="005914B3">
              <w:t xml:space="preserve"> become finer, computation</w:t>
            </w:r>
            <w:r w:rsidR="000E6A92" w:rsidRPr="005914B3">
              <w:t xml:space="preserve"> and model running time i</w:t>
            </w:r>
            <w:r w:rsidRPr="005914B3">
              <w:t xml:space="preserve">ncreases. It may be possible to reliably estimate the size selectivity of the various fleets and </w:t>
            </w:r>
            <w:r w:rsidR="000E6A92" w:rsidRPr="005914B3">
              <w:t>still extract</w:t>
            </w:r>
            <w:r w:rsidRPr="005914B3">
              <w:t xml:space="preserve"> information about fishing mortality rate </w:t>
            </w:r>
            <w:r w:rsidR="000E6A92" w:rsidRPr="005914B3">
              <w:t xml:space="preserve">from the size composition data </w:t>
            </w:r>
            <w:r w:rsidRPr="005914B3">
              <w:t xml:space="preserve">while </w:t>
            </w:r>
            <w:r w:rsidR="000E6A92" w:rsidRPr="005914B3">
              <w:t xml:space="preserve">assuming coarse bin-widths (e.g. 10cm, 20cm, </w:t>
            </w:r>
            <w:proofErr w:type="gramStart"/>
            <w:r w:rsidR="000E6A92" w:rsidRPr="005914B3">
              <w:t>30cm</w:t>
            </w:r>
            <w:proofErr w:type="gramEnd"/>
            <w:r w:rsidR="000E6A92" w:rsidRPr="005914B3">
              <w:t xml:space="preserve">). </w:t>
            </w:r>
            <w:r w:rsidR="005914B3" w:rsidRPr="005914B3">
              <w:t xml:space="preserve"> Appropriate resolution may be established by fitting operating models with various level of disaggregation.</w:t>
            </w:r>
          </w:p>
        </w:tc>
      </w:tr>
      <w:tr w:rsidR="00733AB3" w14:paraId="2734C879" w14:textId="77777777" w:rsidTr="008E5E0C">
        <w:tc>
          <w:tcPr>
            <w:tcW w:w="1809" w:type="dxa"/>
            <w:shd w:val="clear" w:color="auto" w:fill="auto"/>
          </w:tcPr>
          <w:p w14:paraId="0B3037C5" w14:textId="3393D89B" w:rsidR="00733AB3" w:rsidRDefault="00733AB3" w:rsidP="0073665A">
            <w:r>
              <w:t>Derivation of the master index</w:t>
            </w:r>
            <w:r w:rsidR="000E6A92">
              <w:t xml:space="preserve"> (indices)</w:t>
            </w:r>
          </w:p>
        </w:tc>
        <w:tc>
          <w:tcPr>
            <w:tcW w:w="7371" w:type="dxa"/>
            <w:shd w:val="clear" w:color="auto" w:fill="auto"/>
          </w:tcPr>
          <w:p w14:paraId="53D82CA0" w14:textId="541DEB6D" w:rsidR="00733AB3" w:rsidRDefault="000E6A92" w:rsidP="005914B3">
            <w:r>
              <w:t xml:space="preserve">Arguably the most critical input to the operating models is the master index from which standardized effort is imputed for each fleet. This index provides an estimate of relative abundance in each year, quarter and area and may be derived from the catch rate data of multiple fleets (for example using log book data). Multiple indices may be formed and operating models established for each. </w:t>
            </w:r>
            <w:r w:rsidR="005914B3">
              <w:t>A subset of data should be used in the derivation of the master index that most likely to reflect spatial heterogeneity in abundance and track changes in abundance over time. It is desirable to have data for each time-area strata to prevent extrapolation from a standardization model (e.g. Eqn. 1)</w:t>
            </w:r>
          </w:p>
        </w:tc>
      </w:tr>
      <w:tr w:rsidR="00733AB3" w14:paraId="0F73EF27" w14:textId="77777777" w:rsidTr="008E5E0C">
        <w:tc>
          <w:tcPr>
            <w:tcW w:w="1809" w:type="dxa"/>
            <w:shd w:val="clear" w:color="auto" w:fill="auto"/>
          </w:tcPr>
          <w:p w14:paraId="2EFB9556" w14:textId="5706B355" w:rsidR="00733AB3" w:rsidRDefault="00733AB3" w:rsidP="0073665A">
            <w:r>
              <w:t>Data to support estimation of an additional stock in the Mediterranean</w:t>
            </w:r>
          </w:p>
        </w:tc>
        <w:tc>
          <w:tcPr>
            <w:tcW w:w="7371" w:type="dxa"/>
            <w:shd w:val="clear" w:color="auto" w:fill="auto"/>
          </w:tcPr>
          <w:p w14:paraId="049CD3BF" w14:textId="44D22325" w:rsidR="00733AB3" w:rsidRDefault="002001C1" w:rsidP="008E5E0C">
            <w:r>
              <w:t xml:space="preserve">Papers on stock structure (e.g. </w:t>
            </w:r>
            <w:proofErr w:type="spellStart"/>
            <w:r>
              <w:t>Arrizabalaga</w:t>
            </w:r>
            <w:proofErr w:type="spellEnd"/>
            <w:r>
              <w:t xml:space="preserve"> et al. 2014)</w:t>
            </w:r>
            <w:r w:rsidR="00916F2A">
              <w:t xml:space="preserve"> often discuss the possibility of stock structure within the Mediterranean, for example a resident eastern Mediterranean stock. The M3 model c</w:t>
            </w:r>
            <w:r w:rsidR="008E5E0C">
              <w:t xml:space="preserve">an include numerous stocks but at the minimum </w:t>
            </w:r>
            <w:r w:rsidR="00916F2A">
              <w:t xml:space="preserve">requires data to assign catch data to stock of origin (i.e. for each time x area in the model data a vector of stock of origin data is required, e.g. 10% </w:t>
            </w:r>
            <w:r w:rsidR="008E5E0C">
              <w:t>w</w:t>
            </w:r>
            <w:r w:rsidR="00916F2A">
              <w:t xml:space="preserve">estern, 85% </w:t>
            </w:r>
            <w:r w:rsidR="008E5E0C">
              <w:t>w</w:t>
            </w:r>
            <w:r w:rsidR="00916F2A">
              <w:t xml:space="preserve">estern Med, 5% </w:t>
            </w:r>
            <w:r w:rsidR="008E5E0C">
              <w:t>e</w:t>
            </w:r>
            <w:r w:rsidR="00916F2A">
              <w:t>astern Med)</w:t>
            </w:r>
            <w:r w:rsidR="008E5E0C">
              <w:t xml:space="preserve"> and an extension of the master index to any new areas</w:t>
            </w:r>
            <w:r w:rsidR="00916F2A">
              <w:t xml:space="preserve">. </w:t>
            </w:r>
          </w:p>
        </w:tc>
      </w:tr>
      <w:tr w:rsidR="00733AB3" w14:paraId="342BF812" w14:textId="77777777" w:rsidTr="008E5E0C">
        <w:tc>
          <w:tcPr>
            <w:tcW w:w="1809" w:type="dxa"/>
            <w:shd w:val="clear" w:color="auto" w:fill="auto"/>
          </w:tcPr>
          <w:p w14:paraId="6DAA5773" w14:textId="77D0525E" w:rsidR="00733AB3" w:rsidRDefault="00916F2A" w:rsidP="0073665A">
            <w:r>
              <w:t>Availability</w:t>
            </w:r>
            <w:r w:rsidR="00DB4900">
              <w:t xml:space="preserve"> </w:t>
            </w:r>
            <w:r>
              <w:t xml:space="preserve">and interpretation of </w:t>
            </w:r>
            <w:r w:rsidR="00DB4900">
              <w:t>larval indices</w:t>
            </w:r>
          </w:p>
        </w:tc>
        <w:tc>
          <w:tcPr>
            <w:tcW w:w="7371" w:type="dxa"/>
            <w:shd w:val="clear" w:color="auto" w:fill="auto"/>
          </w:tcPr>
          <w:p w14:paraId="3AE9BE07" w14:textId="0D600067" w:rsidR="00733AB3" w:rsidRDefault="00916F2A" w:rsidP="008E5E0C">
            <w:r>
              <w:t xml:space="preserve">It has been suggested that larval indices developed for both </w:t>
            </w:r>
            <w:r w:rsidR="008E5E0C">
              <w:t>w</w:t>
            </w:r>
            <w:r>
              <w:t xml:space="preserve">estern and </w:t>
            </w:r>
            <w:r w:rsidR="008E5E0C">
              <w:t>e</w:t>
            </w:r>
            <w:r>
              <w:t>astern stocks could provide information regarding spawning stock biomass trends in natal spawning areas. Before they are used in conditioning operating models it would be beneficial to discuss the</w:t>
            </w:r>
            <w:r w:rsidR="00DF42DD">
              <w:t xml:space="preserve"> </w:t>
            </w:r>
            <w:r>
              <w:t>appropriate use of these</w:t>
            </w:r>
            <w:r w:rsidR="00DF42DD">
              <w:t xml:space="preserve"> data</w:t>
            </w:r>
            <w:r>
              <w:t xml:space="preserve">. </w:t>
            </w:r>
          </w:p>
        </w:tc>
      </w:tr>
      <w:tr w:rsidR="00733AB3" w14:paraId="1AFC4926" w14:textId="77777777" w:rsidTr="008E5E0C">
        <w:tc>
          <w:tcPr>
            <w:tcW w:w="1809" w:type="dxa"/>
            <w:shd w:val="clear" w:color="auto" w:fill="auto"/>
          </w:tcPr>
          <w:p w14:paraId="15D8A91A" w14:textId="78888DCB" w:rsidR="00733AB3" w:rsidRDefault="00100749" w:rsidP="00100749">
            <w:r>
              <w:t>Interpretation of aerial survey data</w:t>
            </w:r>
          </w:p>
        </w:tc>
        <w:tc>
          <w:tcPr>
            <w:tcW w:w="7371" w:type="dxa"/>
            <w:shd w:val="clear" w:color="auto" w:fill="auto"/>
          </w:tcPr>
          <w:p w14:paraId="33DC06C3" w14:textId="7892F9DF" w:rsidR="00733AB3" w:rsidRDefault="00100749" w:rsidP="00C92B21">
            <w:r>
              <w:t xml:space="preserve">How should aerial survey data </w:t>
            </w:r>
            <w:r w:rsidR="00C92B21">
              <w:t xml:space="preserve">(e.g. </w:t>
            </w:r>
            <w:proofErr w:type="spellStart"/>
            <w:r w:rsidR="00C92B21">
              <w:t>Bonhommeau</w:t>
            </w:r>
            <w:proofErr w:type="spellEnd"/>
            <w:r w:rsidR="00C92B21">
              <w:t xml:space="preserve"> et al. 2010, Ingram et al. 2015) </w:t>
            </w:r>
            <w:r>
              <w:t>be used to condition operating models?</w:t>
            </w:r>
          </w:p>
        </w:tc>
      </w:tr>
    </w:tbl>
    <w:p w14:paraId="6CCE234C" w14:textId="77777777" w:rsidR="00733AB3" w:rsidRPr="00733AB3" w:rsidRDefault="00733AB3" w:rsidP="00733AB3"/>
    <w:p w14:paraId="341FA6EC" w14:textId="0C879C58" w:rsidR="00D62708" w:rsidRDefault="00A358A5" w:rsidP="0008077F">
      <w:pPr>
        <w:pStyle w:val="Heading2"/>
      </w:pPr>
      <w:r>
        <w:lastRenderedPageBreak/>
        <w:t>I</w:t>
      </w:r>
      <w:r w:rsidR="00D62708">
        <w:t>ssues relating to model structure</w:t>
      </w:r>
    </w:p>
    <w:p w14:paraId="5B8EF645" w14:textId="77777777" w:rsid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09"/>
        <w:gridCol w:w="7371"/>
      </w:tblGrid>
      <w:tr w:rsidR="00733AB3" w14:paraId="31CB2685" w14:textId="77777777" w:rsidTr="008E5E0C">
        <w:tc>
          <w:tcPr>
            <w:tcW w:w="1809" w:type="dxa"/>
          </w:tcPr>
          <w:p w14:paraId="5BBBD5E9" w14:textId="77777777" w:rsidR="00733AB3" w:rsidRPr="00DF42DD" w:rsidRDefault="00733AB3" w:rsidP="0073665A">
            <w:pPr>
              <w:rPr>
                <w:b/>
              </w:rPr>
            </w:pPr>
            <w:r w:rsidRPr="00DF42DD">
              <w:rPr>
                <w:b/>
              </w:rPr>
              <w:t>Issue</w:t>
            </w:r>
          </w:p>
        </w:tc>
        <w:tc>
          <w:tcPr>
            <w:tcW w:w="7371" w:type="dxa"/>
          </w:tcPr>
          <w:p w14:paraId="500A2F73" w14:textId="77777777" w:rsidR="00733AB3" w:rsidRPr="00DF42DD" w:rsidRDefault="00733AB3" w:rsidP="0073665A">
            <w:pPr>
              <w:rPr>
                <w:b/>
              </w:rPr>
            </w:pPr>
            <w:r w:rsidRPr="00DF42DD">
              <w:rPr>
                <w:b/>
              </w:rPr>
              <w:t>Description</w:t>
            </w:r>
          </w:p>
        </w:tc>
      </w:tr>
      <w:tr w:rsidR="00733AB3" w14:paraId="0CC1B103" w14:textId="77777777" w:rsidTr="008E5E0C">
        <w:tc>
          <w:tcPr>
            <w:tcW w:w="1809" w:type="dxa"/>
          </w:tcPr>
          <w:p w14:paraId="59918AB1" w14:textId="207A1BF3" w:rsidR="00733AB3" w:rsidRDefault="00733AB3" w:rsidP="00733AB3">
            <w:r>
              <w:t>Alternative models for size selectivity</w:t>
            </w:r>
          </w:p>
        </w:tc>
        <w:tc>
          <w:tcPr>
            <w:tcW w:w="7371" w:type="dxa"/>
          </w:tcPr>
          <w:p w14:paraId="3F8281FE" w14:textId="3988CD55" w:rsidR="00733AB3" w:rsidRDefault="00DF42DD" w:rsidP="00DF42DD">
            <w:r>
              <w:t>The current version of the M3 model includes just two types of selectivity ogive: logistic ‘flat topped’ selectivity and Thompson</w:t>
            </w:r>
            <w:r w:rsidR="00C92B21">
              <w:t xml:space="preserve"> (1994)</w:t>
            </w:r>
            <w:r>
              <w:t xml:space="preserve"> ‘dome shaped’ selectivity. It may be beneficial to describe a number of other prospective selectivity curves to aid in model fitting.</w:t>
            </w:r>
          </w:p>
        </w:tc>
      </w:tr>
      <w:tr w:rsidR="00733AB3" w14:paraId="257B5B81" w14:textId="77777777" w:rsidTr="008E5E0C">
        <w:tc>
          <w:tcPr>
            <w:tcW w:w="1809" w:type="dxa"/>
          </w:tcPr>
          <w:p w14:paraId="7DB07B5B" w14:textId="5A43D273" w:rsidR="00733AB3" w:rsidRDefault="00733AB3" w:rsidP="0073665A">
            <w:r>
              <w:t>Type of movement model</w:t>
            </w:r>
          </w:p>
        </w:tc>
        <w:tc>
          <w:tcPr>
            <w:tcW w:w="7371" w:type="dxa"/>
          </w:tcPr>
          <w:p w14:paraId="767945E5" w14:textId="229F7001" w:rsidR="00733AB3" w:rsidRDefault="00DF42DD" w:rsidP="00DF42DD">
            <w:r>
              <w:t>Currently the model can either model movement as full Markov movement matrix (a probability from each area – to each area</w:t>
            </w:r>
            <w:r w:rsidR="00DA2CD0">
              <w:t>, where applicable</w:t>
            </w:r>
            <w:r>
              <w:t xml:space="preserve">), a gravity model with viscosity (a gravity weight for each area plus a viscosity parameter further increasing the likelihood of individuals remaining the in the same area) or a fractional model (individuals are fully mixed and redistributed in each time step according to estimated fractions in each area). The more complex Markov model may be the most flexible but may also be spurious where </w:t>
            </w:r>
            <w:r w:rsidR="00DA2CD0">
              <w:t xml:space="preserve">electronic tagging </w:t>
            </w:r>
            <w:r>
              <w:t>data are sparse</w:t>
            </w:r>
            <w:r w:rsidR="00DA2CD0">
              <w:t xml:space="preserve"> (only PSAT data inform specific movement from-to areas among quarters)</w:t>
            </w:r>
            <w:r>
              <w:t xml:space="preserve">. The fractional model and gravity models are similar. The gravity model will only prove beneficial over the fractional model if there are differences in population trajectory among areas implying that modelling viscosity is important. </w:t>
            </w:r>
          </w:p>
        </w:tc>
      </w:tr>
      <w:tr w:rsidR="00733AB3" w14:paraId="0A8DA6D0" w14:textId="77777777" w:rsidTr="008E5E0C">
        <w:tc>
          <w:tcPr>
            <w:tcW w:w="1809" w:type="dxa"/>
          </w:tcPr>
          <w:p w14:paraId="08721A57" w14:textId="371A9840" w:rsidR="00733AB3" w:rsidRDefault="00733AB3" w:rsidP="0073665A">
            <w:r>
              <w:t>Accounting for new information regarding spawning and maturity</w:t>
            </w:r>
          </w:p>
        </w:tc>
        <w:tc>
          <w:tcPr>
            <w:tcW w:w="7371" w:type="dxa"/>
          </w:tcPr>
          <w:p w14:paraId="1C69311B" w14:textId="07FAD369" w:rsidR="00733AB3" w:rsidRDefault="00DF42DD" w:rsidP="00E6272D">
            <w:r>
              <w:t xml:space="preserve">Recent </w:t>
            </w:r>
            <w:r w:rsidR="00E6272D">
              <w:t xml:space="preserve">research by Richardson et al. (2015) confirms a second spawning area for western fish in the slope sea, in addition to a lower age-at- maturity. While the impact of these changes on estimates of stock size and trajectory are likely to be minimal it is important to discuss the correct implementation of this new information. </w:t>
            </w:r>
          </w:p>
        </w:tc>
      </w:tr>
      <w:tr w:rsidR="00733AB3" w14:paraId="3C3BE8E1" w14:textId="77777777" w:rsidTr="008E5E0C">
        <w:tc>
          <w:tcPr>
            <w:tcW w:w="1809" w:type="dxa"/>
          </w:tcPr>
          <w:p w14:paraId="77453068" w14:textId="5B7B3A86" w:rsidR="00733AB3" w:rsidRDefault="00733AB3" w:rsidP="00733AB3">
            <w:r>
              <w:t>What spawning biomass should be used to predict recruitment</w:t>
            </w:r>
          </w:p>
        </w:tc>
        <w:tc>
          <w:tcPr>
            <w:tcW w:w="7371" w:type="dxa"/>
          </w:tcPr>
          <w:p w14:paraId="345F047C" w14:textId="25564846" w:rsidR="00733AB3" w:rsidRDefault="00E6272D" w:rsidP="0073665A">
            <w:r>
              <w:t>Should recruitmen</w:t>
            </w:r>
            <w:r w:rsidR="00ED7359">
              <w:t xml:space="preserve">t be calculated from model </w:t>
            </w:r>
            <w:r>
              <w:t xml:space="preserve">predicted spawning biomass in known spawning areas </w:t>
            </w:r>
            <w:r w:rsidR="00ED7359">
              <w:t xml:space="preserve">at known spawning seasons </w:t>
            </w:r>
            <w:r>
              <w:t>only</w:t>
            </w:r>
            <w:r w:rsidR="00ED7359">
              <w:t xml:space="preserve"> (rather than just stock-wide spawning biomass)? </w:t>
            </w:r>
          </w:p>
        </w:tc>
      </w:tr>
      <w:tr w:rsidR="00733AB3" w14:paraId="798C1240" w14:textId="77777777" w:rsidTr="008E5E0C">
        <w:tc>
          <w:tcPr>
            <w:tcW w:w="1809" w:type="dxa"/>
          </w:tcPr>
          <w:p w14:paraId="6161E5CA" w14:textId="69B19A81" w:rsidR="00733AB3" w:rsidRDefault="00733AB3" w:rsidP="00733AB3">
            <w:r>
              <w:t>Appropriate resolution (blocking) of recruitment</w:t>
            </w:r>
          </w:p>
        </w:tc>
        <w:tc>
          <w:tcPr>
            <w:tcW w:w="7371" w:type="dxa"/>
          </w:tcPr>
          <w:p w14:paraId="03B95F5D" w14:textId="022E40DF" w:rsidR="00733AB3" w:rsidRDefault="00ED7359" w:rsidP="00ED7359">
            <w:r>
              <w:t xml:space="preserve">In a statistical catch-at-length model, there is less information about annual recruitment than a catch-at-age model since the strength of cohorts is inferred through the </w:t>
            </w:r>
            <w:proofErr w:type="spellStart"/>
            <w:r>
              <w:t>iALK</w:t>
            </w:r>
            <w:proofErr w:type="spellEnd"/>
            <w:r>
              <w:t xml:space="preserve"> (there is ‘smearing’). There are a number of options. Annual recruitment can still be estimated but this can lead to parameter confounding </w:t>
            </w:r>
            <w:proofErr w:type="gramStart"/>
            <w:r>
              <w:t>among  adjacent</w:t>
            </w:r>
            <w:proofErr w:type="gramEnd"/>
            <w:r>
              <w:t xml:space="preserve"> years. Alternatively recruitment strength can be aggregated into blocks of years (5 year for example) or a spline or moving average can be applied to recruitment strength estimated at coarse vertices (e.g. every 5 years). </w:t>
            </w:r>
          </w:p>
        </w:tc>
      </w:tr>
      <w:tr w:rsidR="00733AB3" w14:paraId="566782DD" w14:textId="77777777" w:rsidTr="008E5E0C">
        <w:tc>
          <w:tcPr>
            <w:tcW w:w="1809" w:type="dxa"/>
          </w:tcPr>
          <w:p w14:paraId="758A4AC3" w14:textId="46A256BD" w:rsidR="00733AB3" w:rsidRDefault="00ED7359" w:rsidP="0073665A">
            <w:r>
              <w:t>Number of years</w:t>
            </w:r>
            <w:r w:rsidR="00314D48">
              <w:t xml:space="preserve"> of estimated F</w:t>
            </w:r>
            <w:r>
              <w:t xml:space="preserve"> used for model initialization</w:t>
            </w:r>
          </w:p>
        </w:tc>
        <w:tc>
          <w:tcPr>
            <w:tcW w:w="7371" w:type="dxa"/>
          </w:tcPr>
          <w:p w14:paraId="55631D4A" w14:textId="70D7A3FE" w:rsidR="00733AB3" w:rsidRDefault="00ED7359" w:rsidP="00314D48">
            <w:r>
              <w:t xml:space="preserve">Currently the model uses mean fishing mortality rate over the first 5 years (e.g. 1960-1964) to predict equilibrium stock structure and depletion prior to the first year (e.g. 1959 and earlier). This may not be appropriate and alternative options should be considered. </w:t>
            </w:r>
          </w:p>
        </w:tc>
      </w:tr>
      <w:tr w:rsidR="00314D48" w14:paraId="7E4CED13" w14:textId="77777777" w:rsidTr="008E5E0C">
        <w:tc>
          <w:tcPr>
            <w:tcW w:w="1809" w:type="dxa"/>
          </w:tcPr>
          <w:p w14:paraId="2F15499C" w14:textId="46B1AC13" w:rsidR="00314D48" w:rsidRDefault="00314D48" w:rsidP="00314D48">
            <w:r>
              <w:t>Number of spool-up years for model initialization</w:t>
            </w:r>
          </w:p>
        </w:tc>
        <w:tc>
          <w:tcPr>
            <w:tcW w:w="7371" w:type="dxa"/>
          </w:tcPr>
          <w:p w14:paraId="5EB5C4D4" w14:textId="455E81C9" w:rsidR="00314D48" w:rsidRDefault="00314D48" w:rsidP="00314D48">
            <w:r>
              <w:t xml:space="preserve">How many ‘spool-up’ years of the equilibrium estimated F (row above) should be assumed to have occurred prior to the initial model year (e.g. 20 years, 1940-1959 of mean F from 1980-1984 used to initialize the model). </w:t>
            </w:r>
          </w:p>
        </w:tc>
      </w:tr>
    </w:tbl>
    <w:p w14:paraId="4FA3AAFC" w14:textId="77777777" w:rsidR="00100749" w:rsidRDefault="00100749" w:rsidP="00100749">
      <w:pPr>
        <w:pStyle w:val="Heading2"/>
        <w:numPr>
          <w:ilvl w:val="0"/>
          <w:numId w:val="0"/>
        </w:numPr>
        <w:ind w:left="576"/>
      </w:pPr>
    </w:p>
    <w:p w14:paraId="58AA4148" w14:textId="4B7CA6E5" w:rsidR="00D62708" w:rsidRDefault="00D62708" w:rsidP="00D62708">
      <w:pPr>
        <w:pStyle w:val="Heading2"/>
      </w:pPr>
      <w:r>
        <w:t>Issues relating to MSE integration</w:t>
      </w:r>
    </w:p>
    <w:p w14:paraId="27C656D1" w14:textId="77777777" w:rsidR="00733AB3" w:rsidRPr="00733AB3" w:rsidRDefault="00733AB3" w:rsidP="00733AB3"/>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081"/>
        <w:gridCol w:w="6099"/>
      </w:tblGrid>
      <w:tr w:rsidR="00733AB3" w14:paraId="757E0930" w14:textId="77777777" w:rsidTr="008E5E0C">
        <w:tc>
          <w:tcPr>
            <w:tcW w:w="3081" w:type="dxa"/>
          </w:tcPr>
          <w:p w14:paraId="179A86F7" w14:textId="77777777" w:rsidR="00733AB3" w:rsidRPr="00100749" w:rsidRDefault="00733AB3" w:rsidP="0073665A">
            <w:pPr>
              <w:rPr>
                <w:b/>
              </w:rPr>
            </w:pPr>
            <w:r w:rsidRPr="00100749">
              <w:rPr>
                <w:b/>
              </w:rPr>
              <w:t>Issue</w:t>
            </w:r>
          </w:p>
        </w:tc>
        <w:tc>
          <w:tcPr>
            <w:tcW w:w="6099" w:type="dxa"/>
          </w:tcPr>
          <w:p w14:paraId="1E386B6D" w14:textId="77777777" w:rsidR="00733AB3" w:rsidRPr="00100749" w:rsidRDefault="00733AB3" w:rsidP="0073665A">
            <w:pPr>
              <w:rPr>
                <w:b/>
              </w:rPr>
            </w:pPr>
            <w:r w:rsidRPr="00100749">
              <w:rPr>
                <w:b/>
              </w:rPr>
              <w:t>Description</w:t>
            </w:r>
          </w:p>
        </w:tc>
      </w:tr>
      <w:tr w:rsidR="00733AB3" w14:paraId="5C5D15AB" w14:textId="77777777" w:rsidTr="008E5E0C">
        <w:tc>
          <w:tcPr>
            <w:tcW w:w="3081" w:type="dxa"/>
          </w:tcPr>
          <w:p w14:paraId="7F337969" w14:textId="1EF1B249" w:rsidR="00733AB3" w:rsidRDefault="00C92B21" w:rsidP="00C92B21">
            <w:r>
              <w:t>How</w:t>
            </w:r>
            <w:r w:rsidR="00DB4900">
              <w:t xml:space="preserve"> should MSY reference points</w:t>
            </w:r>
            <w:r>
              <w:t xml:space="preserve"> be calculated</w:t>
            </w:r>
            <w:r w:rsidR="00DB4900">
              <w:t>?</w:t>
            </w:r>
          </w:p>
        </w:tc>
        <w:tc>
          <w:tcPr>
            <w:tcW w:w="6099" w:type="dxa"/>
          </w:tcPr>
          <w:p w14:paraId="74C59E76" w14:textId="11FABE91" w:rsidR="00733AB3" w:rsidRDefault="00ED7359" w:rsidP="0073665A">
            <w:r>
              <w:t xml:space="preserve">When establishing current stock status and exploitation rates relative to MSY levels (e.g. a Kobe plot) assumptions about the </w:t>
            </w:r>
          </w:p>
        </w:tc>
      </w:tr>
      <w:tr w:rsidR="00733AB3" w14:paraId="1AF3A09E" w14:textId="77777777" w:rsidTr="008E5E0C">
        <w:tc>
          <w:tcPr>
            <w:tcW w:w="3081" w:type="dxa"/>
          </w:tcPr>
          <w:p w14:paraId="7A15243F" w14:textId="103AF888" w:rsidR="00DB4900" w:rsidRDefault="00DB4900" w:rsidP="0073665A">
            <w:r>
              <w:t>What rules for allocation should be investigated?</w:t>
            </w:r>
          </w:p>
        </w:tc>
        <w:tc>
          <w:tcPr>
            <w:tcW w:w="6099" w:type="dxa"/>
          </w:tcPr>
          <w:p w14:paraId="181C9101" w14:textId="29C3C7B8" w:rsidR="00733AB3" w:rsidRDefault="008551EA" w:rsidP="00CB7306">
            <w:r>
              <w:t xml:space="preserve">To undertake closed loop simulation, catch recommendations must be allocated spatially, temporally (among quarters) and among fleets (flags / gears). This allocation may </w:t>
            </w:r>
            <w:r w:rsidR="00CB7306">
              <w:t>be part of the management procedure or derived from operating model estimates (the operating models predict catches and exploitation rates for the various fleet types that may be divided among applicable fishing nations and gear types)</w:t>
            </w:r>
          </w:p>
        </w:tc>
      </w:tr>
      <w:tr w:rsidR="00733AB3" w14:paraId="44079B8D" w14:textId="77777777" w:rsidTr="008E5E0C">
        <w:tc>
          <w:tcPr>
            <w:tcW w:w="3081" w:type="dxa"/>
          </w:tcPr>
          <w:p w14:paraId="0F658B4B" w14:textId="49A2B536" w:rsidR="00733AB3" w:rsidRDefault="00CB7306" w:rsidP="0073665A">
            <w:r>
              <w:t>What data will be available in the future for use in management decision making?</w:t>
            </w:r>
          </w:p>
        </w:tc>
        <w:tc>
          <w:tcPr>
            <w:tcW w:w="6099" w:type="dxa"/>
          </w:tcPr>
          <w:p w14:paraId="459D7112" w14:textId="067094E0" w:rsidR="00733AB3" w:rsidRDefault="00E0013C" w:rsidP="000B5BE3">
            <w:r>
              <w:t xml:space="preserve">If </w:t>
            </w:r>
            <w:r w:rsidR="000B5BE3">
              <w:t xml:space="preserve">a type of </w:t>
            </w:r>
            <w:r>
              <w:t xml:space="preserve">data </w:t>
            </w:r>
            <w:r w:rsidR="000B5BE3">
              <w:t>is</w:t>
            </w:r>
            <w:r>
              <w:t xml:space="preserve"> not likely to be available in the future</w:t>
            </w:r>
            <w:r w:rsidR="000B5BE3">
              <w:t xml:space="preserve"> (e.g. an aerial survey</w:t>
            </w:r>
            <w:r w:rsidR="00C92B21">
              <w:t xml:space="preserve">, close-kin tagging </w:t>
            </w:r>
            <w:proofErr w:type="spellStart"/>
            <w:r w:rsidR="00C92B21">
              <w:t>Bravington</w:t>
            </w:r>
            <w:proofErr w:type="spellEnd"/>
            <w:r w:rsidR="00C92B21">
              <w:t xml:space="preserve"> et al 2013</w:t>
            </w:r>
            <w:r w:rsidR="000B5BE3">
              <w:t>)</w:t>
            </w:r>
            <w:r>
              <w:t>, MPs using such data may not be a realistic management option. It would be beneficial to summarize which data will be subject to ongoing collection</w:t>
            </w:r>
            <w:r w:rsidR="000B5BE3">
              <w:t xml:space="preserve"> and processing to limit the scope of the MSE. </w:t>
            </w:r>
          </w:p>
        </w:tc>
      </w:tr>
    </w:tbl>
    <w:p w14:paraId="1030F4DE" w14:textId="77777777" w:rsidR="006E5BE6" w:rsidRPr="006E5BE6" w:rsidRDefault="006E5BE6" w:rsidP="006E5BE6"/>
    <w:p w14:paraId="4A8D62E2" w14:textId="07B01239" w:rsidR="0008077F" w:rsidRDefault="00100749" w:rsidP="0008077F">
      <w:pPr>
        <w:pStyle w:val="Heading2"/>
      </w:pPr>
      <w:r>
        <w:t>Data priorities</w:t>
      </w:r>
    </w:p>
    <w:p w14:paraId="431724EF" w14:textId="77777777" w:rsidR="0008077F" w:rsidRDefault="0008077F" w:rsidP="0008077F"/>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093"/>
        <w:gridCol w:w="7087"/>
      </w:tblGrid>
      <w:tr w:rsidR="00100749" w14:paraId="223B9222" w14:textId="77777777" w:rsidTr="008E5E0C">
        <w:tc>
          <w:tcPr>
            <w:tcW w:w="2093" w:type="dxa"/>
          </w:tcPr>
          <w:p w14:paraId="7F14B560" w14:textId="3CB60B5F" w:rsidR="00100749" w:rsidRPr="00100749" w:rsidRDefault="00100749" w:rsidP="0073665A">
            <w:pPr>
              <w:rPr>
                <w:b/>
              </w:rPr>
            </w:pPr>
            <w:r>
              <w:rPr>
                <w:b/>
              </w:rPr>
              <w:lastRenderedPageBreak/>
              <w:t>Data</w:t>
            </w:r>
            <w:r w:rsidR="00E0013C">
              <w:rPr>
                <w:b/>
              </w:rPr>
              <w:t xml:space="preserve"> (in order of priority)</w:t>
            </w:r>
          </w:p>
        </w:tc>
        <w:tc>
          <w:tcPr>
            <w:tcW w:w="7087" w:type="dxa"/>
          </w:tcPr>
          <w:p w14:paraId="587F2F04" w14:textId="69C1ECBB" w:rsidR="00100749" w:rsidRPr="00100749" w:rsidRDefault="00100749" w:rsidP="00100749">
            <w:pPr>
              <w:rPr>
                <w:b/>
              </w:rPr>
            </w:pPr>
            <w:r>
              <w:rPr>
                <w:b/>
              </w:rPr>
              <w:t>Role in conditioning operating models</w:t>
            </w:r>
          </w:p>
        </w:tc>
      </w:tr>
      <w:tr w:rsidR="00100749" w14:paraId="3F2BF31A" w14:textId="77777777" w:rsidTr="008E5E0C">
        <w:tc>
          <w:tcPr>
            <w:tcW w:w="2093" w:type="dxa"/>
          </w:tcPr>
          <w:p w14:paraId="3EB8399F" w14:textId="2FEA22D9" w:rsidR="00100749" w:rsidRDefault="00100749" w:rsidP="0073665A">
            <w:r>
              <w:t>Stock of origin by quarter and area</w:t>
            </w:r>
          </w:p>
          <w:p w14:paraId="6261E87C" w14:textId="3C8756EA" w:rsidR="00100749" w:rsidRDefault="00100749" w:rsidP="0073665A">
            <w:r>
              <w:t>(preferably over multiple years)</w:t>
            </w:r>
          </w:p>
        </w:tc>
        <w:tc>
          <w:tcPr>
            <w:tcW w:w="7087" w:type="dxa"/>
          </w:tcPr>
          <w:p w14:paraId="6120B77C" w14:textId="4E7EA17F" w:rsidR="00100749" w:rsidRDefault="000B5BE3" w:rsidP="00161EDF">
            <w:r>
              <w:t>The critical component of a multi</w:t>
            </w:r>
            <w:r w:rsidR="00161EDF">
              <w:t xml:space="preserve"> </w:t>
            </w:r>
            <w:r>
              <w:t>stock model is stock of origin data (</w:t>
            </w:r>
            <w:r w:rsidR="00161EDF">
              <w:t xml:space="preserve">for example </w:t>
            </w:r>
            <w:r>
              <w:t xml:space="preserve">arising from </w:t>
            </w:r>
            <w:r w:rsidR="00161EDF">
              <w:t xml:space="preserve">analysis of </w:t>
            </w:r>
            <w:r>
              <w:t>otolith microchemi</w:t>
            </w:r>
            <w:r w:rsidR="00161EDF">
              <w:t xml:space="preserve">stry analysis or mitochondrial DNA) that apportions observed total catches to each stock to scale stocks and constrain movement estimation. </w:t>
            </w:r>
          </w:p>
        </w:tc>
      </w:tr>
      <w:tr w:rsidR="00100749" w14:paraId="6085ADF9" w14:textId="77777777" w:rsidTr="008E5E0C">
        <w:tc>
          <w:tcPr>
            <w:tcW w:w="2093" w:type="dxa"/>
          </w:tcPr>
          <w:p w14:paraId="141A0B3C" w14:textId="54352AE9" w:rsidR="00100749" w:rsidRDefault="000B5BE3" w:rsidP="0073665A">
            <w:r>
              <w:t>Master index of relative abundance over areas</w:t>
            </w:r>
          </w:p>
        </w:tc>
        <w:tc>
          <w:tcPr>
            <w:tcW w:w="7087" w:type="dxa"/>
          </w:tcPr>
          <w:p w14:paraId="462DA7A8" w14:textId="08A44D1F" w:rsidR="00100749" w:rsidRDefault="00161EDF" w:rsidP="0073665A">
            <w:r>
              <w:t>The master index predetermines trajectories in fishing mortality rate for each fleet type and should be subject to careful review and testing. It is similar to prescribing a single relative abundance index for conditioning a stock assessment model.</w:t>
            </w:r>
          </w:p>
        </w:tc>
      </w:tr>
      <w:tr w:rsidR="000B5BE3" w14:paraId="560A8F24" w14:textId="77777777" w:rsidTr="008E5E0C">
        <w:tc>
          <w:tcPr>
            <w:tcW w:w="2093" w:type="dxa"/>
          </w:tcPr>
          <w:p w14:paraId="72BF7F91" w14:textId="1469DFA9" w:rsidR="000B5BE3" w:rsidRDefault="000B5BE3" w:rsidP="0073665A">
            <w:r>
              <w:t>Size composition data by fleet type</w:t>
            </w:r>
          </w:p>
        </w:tc>
        <w:tc>
          <w:tcPr>
            <w:tcW w:w="7087" w:type="dxa"/>
          </w:tcPr>
          <w:p w14:paraId="378DCD52" w14:textId="355971C7" w:rsidR="000B5BE3" w:rsidRDefault="00161EDF" w:rsidP="0073665A">
            <w:r>
              <w:t xml:space="preserve">Reliable size composition data are required to correctly calculate MSY reference points and provide additional information regarding stock depletion and fishing rates. </w:t>
            </w:r>
          </w:p>
        </w:tc>
      </w:tr>
      <w:tr w:rsidR="000B5BE3" w14:paraId="21CAAE53" w14:textId="77777777" w:rsidTr="008E5E0C">
        <w:tc>
          <w:tcPr>
            <w:tcW w:w="2093" w:type="dxa"/>
          </w:tcPr>
          <w:p w14:paraId="6E223570" w14:textId="6AFCB0BD" w:rsidR="000B5BE3" w:rsidRDefault="000B5BE3" w:rsidP="0073665A">
            <w:r>
              <w:t>Total catches by year, quarter and fleet type</w:t>
            </w:r>
          </w:p>
        </w:tc>
        <w:tc>
          <w:tcPr>
            <w:tcW w:w="7087" w:type="dxa"/>
          </w:tcPr>
          <w:p w14:paraId="3168EFF7" w14:textId="50ACB812" w:rsidR="000B5BE3" w:rsidRDefault="00161EDF" w:rsidP="00DA2CD0">
            <w:r>
              <w:t xml:space="preserve">In this preliminary analysis I uprated task II data to task I catches to assign these to fleet, year, quarter and area. A more defensible, better documented and reviewed process should be undertaken by scientists with a </w:t>
            </w:r>
            <w:r w:rsidR="00DA2CD0">
              <w:t>more thorough</w:t>
            </w:r>
            <w:r>
              <w:t xml:space="preserve"> working knowledge of these data sets. </w:t>
            </w:r>
          </w:p>
        </w:tc>
      </w:tr>
      <w:tr w:rsidR="000B5BE3" w14:paraId="52CCB212" w14:textId="77777777" w:rsidTr="008E5E0C">
        <w:tc>
          <w:tcPr>
            <w:tcW w:w="2093" w:type="dxa"/>
          </w:tcPr>
          <w:p w14:paraId="0842D6B3" w14:textId="4949E8CC" w:rsidR="000B5BE3" w:rsidRDefault="00C92B21" w:rsidP="0073665A">
            <w:r>
              <w:t>Larval survey data</w:t>
            </w:r>
          </w:p>
        </w:tc>
        <w:tc>
          <w:tcPr>
            <w:tcW w:w="7087" w:type="dxa"/>
          </w:tcPr>
          <w:p w14:paraId="073336DF" w14:textId="0B343E53" w:rsidR="000B5BE3" w:rsidRDefault="00C92B21" w:rsidP="0073665A">
            <w:r>
              <w:t xml:space="preserve">An index of spawning stock biomass could greatly improve the stability of model estimation by providing stock specific information about abundance trends. </w:t>
            </w:r>
          </w:p>
        </w:tc>
      </w:tr>
      <w:tr w:rsidR="00C92B21" w14:paraId="150F3D96" w14:textId="77777777" w:rsidTr="008E5E0C">
        <w:tc>
          <w:tcPr>
            <w:tcW w:w="2093" w:type="dxa"/>
          </w:tcPr>
          <w:p w14:paraId="0C224462" w14:textId="178E172B" w:rsidR="00C92B21" w:rsidRDefault="00C92B21" w:rsidP="0073665A">
            <w:r>
              <w:t>Electronic tagging data</w:t>
            </w:r>
          </w:p>
        </w:tc>
        <w:tc>
          <w:tcPr>
            <w:tcW w:w="7087" w:type="dxa"/>
          </w:tcPr>
          <w:p w14:paraId="19A61F66" w14:textId="411B96E0" w:rsidR="00C92B21" w:rsidRDefault="00C92B21" w:rsidP="0073665A">
            <w:r>
              <w:t xml:space="preserve">Electronic tagging data provide additional information about credible stock distribution and movements and are necessary to estimate the parameters of the Markov movement model (gravity and fractional models do not require electronic tagging data). </w:t>
            </w:r>
          </w:p>
        </w:tc>
      </w:tr>
    </w:tbl>
    <w:p w14:paraId="57F5DDB4" w14:textId="77777777" w:rsidR="009615A4" w:rsidRDefault="009615A4" w:rsidP="002F5DBD"/>
    <w:p w14:paraId="3AA41CE6" w14:textId="77777777" w:rsidR="0008077F" w:rsidRDefault="0008077F" w:rsidP="002F5DBD"/>
    <w:p w14:paraId="4F56CFE2" w14:textId="77777777" w:rsidR="00522D79" w:rsidRPr="00D60CB4" w:rsidRDefault="00522D79" w:rsidP="00D60CB4"/>
    <w:p w14:paraId="1B818D7F" w14:textId="77777777" w:rsidR="00D35A60" w:rsidRPr="00D35A60" w:rsidRDefault="00D35A6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77777777" w:rsidR="000E1796" w:rsidRDefault="000E1796" w:rsidP="000E1796">
      <w:r>
        <w:t>T</w:t>
      </w:r>
      <w:r w:rsidRPr="000E1796">
        <w:t>his work was carried out by TC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77777777" w:rsidR="000E1796" w:rsidRPr="000E1796" w:rsidRDefault="000E1796" w:rsidP="000E1796"/>
    <w:p w14:paraId="00D7FF99" w14:textId="77777777" w:rsidR="004756EC" w:rsidRPr="004756EC" w:rsidRDefault="004756EC" w:rsidP="000E1796">
      <w:pPr>
        <w:pStyle w:val="Heading1"/>
      </w:pPr>
      <w:r>
        <w:t>References</w:t>
      </w:r>
    </w:p>
    <w:p w14:paraId="797549AD" w14:textId="77777777" w:rsidR="004756EC" w:rsidRPr="004756EC" w:rsidRDefault="004756EC" w:rsidP="004756EC"/>
    <w:p w14:paraId="23985B6D" w14:textId="77777777" w:rsidR="00FE0F41" w:rsidRDefault="00951331" w:rsidP="000C05C8">
      <w:pPr>
        <w:spacing w:afterLines="40" w:after="96"/>
        <w:ind w:left="425" w:right="-11" w:hanging="425"/>
      </w:pPr>
      <w:proofErr w:type="spellStart"/>
      <w:r>
        <w:t>Arrizabalaga</w:t>
      </w:r>
      <w:proofErr w:type="spellEnd"/>
      <w:r>
        <w:t xml:space="preserve">, H., </w:t>
      </w:r>
      <w:proofErr w:type="spellStart"/>
      <w:r>
        <w:t>Fromentin</w:t>
      </w:r>
      <w:proofErr w:type="spellEnd"/>
      <w:r>
        <w:t xml:space="preserve">, J.M., </w:t>
      </w:r>
      <w:proofErr w:type="spellStart"/>
      <w:r>
        <w:t>Kell</w:t>
      </w:r>
      <w:proofErr w:type="spellEnd"/>
      <w:r>
        <w:t xml:space="preserve">, L.T., Kerr, L.A., Kimoto, A., Porch, C., </w:t>
      </w:r>
      <w:proofErr w:type="spellStart"/>
      <w:r>
        <w:t>Secor</w:t>
      </w:r>
      <w:proofErr w:type="spellEnd"/>
      <w:r>
        <w:t xml:space="preserve">, D.H. 2014. Population hypotheses and stock assumptions for North Atlantic Bluefin tuna. SCRS/2014/xxx. </w:t>
      </w:r>
    </w:p>
    <w:p w14:paraId="3343244E" w14:textId="77777777" w:rsidR="00E44C09" w:rsidRDefault="00E44C09" w:rsidP="000C05C8">
      <w:pPr>
        <w:spacing w:afterLines="40" w:after="96"/>
        <w:ind w:left="425" w:right="-11" w:hanging="425"/>
      </w:pPr>
      <w:proofErr w:type="spellStart"/>
      <w:r>
        <w:t>Bonhommeau</w:t>
      </w:r>
      <w:proofErr w:type="spellEnd"/>
      <w:r>
        <w:t xml:space="preserve">, S., </w:t>
      </w:r>
      <w:proofErr w:type="spellStart"/>
      <w:r>
        <w:t>Farrugio</w:t>
      </w:r>
      <w:proofErr w:type="spellEnd"/>
      <w:r>
        <w:t xml:space="preserve">, H., Poisson, F, </w:t>
      </w:r>
      <w:proofErr w:type="spellStart"/>
      <w:r>
        <w:t>Fromentin</w:t>
      </w:r>
      <w:proofErr w:type="spellEnd"/>
      <w:r>
        <w:t xml:space="preserve">, J-M. 2010. Aerial surveys of </w:t>
      </w:r>
      <w:proofErr w:type="spellStart"/>
      <w:r>
        <w:t>bluefin</w:t>
      </w:r>
      <w:proofErr w:type="spellEnd"/>
      <w:r>
        <w:t xml:space="preserve"> tuna in the western Mediterranean </w:t>
      </w:r>
      <w:proofErr w:type="gramStart"/>
      <w:r>
        <w:t>sea</w:t>
      </w:r>
      <w:proofErr w:type="gramEnd"/>
      <w:r>
        <w:t xml:space="preserve">: retrospective, prospective, perspective. SCRS/2009/142. </w:t>
      </w:r>
    </w:p>
    <w:p w14:paraId="2236BCAB" w14:textId="57AA9C68" w:rsidR="008E62E2" w:rsidRDefault="008E62E2" w:rsidP="00C32691">
      <w:pPr>
        <w:spacing w:afterLines="40" w:after="96"/>
        <w:ind w:left="425" w:right="-11" w:hanging="425"/>
      </w:pPr>
      <w:proofErr w:type="spellStart"/>
      <w:r w:rsidRPr="008E62E2">
        <w:t>Brav</w:t>
      </w:r>
      <w:r>
        <w:t>ington</w:t>
      </w:r>
      <w:proofErr w:type="spellEnd"/>
      <w:r>
        <w:t xml:space="preserve">, M. V., </w:t>
      </w:r>
      <w:proofErr w:type="spellStart"/>
      <w:r>
        <w:t>Grewe</w:t>
      </w:r>
      <w:proofErr w:type="spellEnd"/>
      <w:r>
        <w:t xml:space="preserve">, P.G., Davies, C.R. </w:t>
      </w:r>
      <w:r w:rsidRPr="008E62E2">
        <w:t>2013. Fishery-independent estimate of spawning biomass of Southern Bluefin Tuna through identification of close-kin using genetic markers. FRDC Report 2007/034. CSIRO, Australia.</w:t>
      </w:r>
    </w:p>
    <w:p w14:paraId="42918F5E" w14:textId="77777777" w:rsidR="00951331" w:rsidRDefault="00951331" w:rsidP="00C32691">
      <w:pPr>
        <w:spacing w:afterLines="40" w:after="96"/>
        <w:ind w:left="425" w:right="-11" w:hanging="425"/>
      </w:pPr>
      <w:r>
        <w:t>Butterworth, D.S., Punt, A.E., 1999. Experiences in the evaluation and implementation of management procedures. ICES J. Mar. Sci. 56, 985-998.</w:t>
      </w:r>
    </w:p>
    <w:p w14:paraId="04FE8792" w14:textId="71887BAF" w:rsidR="00D74907" w:rsidRDefault="00D74907" w:rsidP="000C05C8">
      <w:pPr>
        <w:spacing w:afterLines="40" w:after="96"/>
        <w:ind w:left="425" w:right="-11" w:hanging="425"/>
      </w:pPr>
      <w:r>
        <w:t xml:space="preserve">Carruthers, T.R., Kimoto, A., Powers, J., </w:t>
      </w:r>
      <w:proofErr w:type="spellStart"/>
      <w:r>
        <w:t>Kell</w:t>
      </w:r>
      <w:proofErr w:type="spellEnd"/>
      <w:r>
        <w:t xml:space="preserve">, L., Butterworth, D., Lauretta, M. and </w:t>
      </w:r>
      <w:proofErr w:type="spellStart"/>
      <w:r>
        <w:t>Kitakado</w:t>
      </w:r>
      <w:proofErr w:type="spellEnd"/>
      <w:r>
        <w:t>, T. 2015</w:t>
      </w:r>
      <w:r w:rsidR="00C92B21">
        <w:t>a</w:t>
      </w:r>
      <w:r>
        <w:t xml:space="preserve">. Structure and estimation framework for Atlantic </w:t>
      </w:r>
      <w:proofErr w:type="spellStart"/>
      <w:r>
        <w:t>bluefin</w:t>
      </w:r>
      <w:proofErr w:type="spellEnd"/>
      <w:r>
        <w:t xml:space="preserve"> tuna operating models. ICCAT SCRS/2015/179. </w:t>
      </w:r>
    </w:p>
    <w:p w14:paraId="68B8C29C" w14:textId="732BF640" w:rsidR="00D74907" w:rsidRDefault="00D74907" w:rsidP="000C05C8">
      <w:pPr>
        <w:spacing w:afterLines="40" w:after="96"/>
        <w:ind w:left="425" w:right="-11" w:hanging="425"/>
      </w:pPr>
      <w:r>
        <w:t xml:space="preserve">Carruthers, T.R., Powers, J., Lauretta, M., Di </w:t>
      </w:r>
      <w:proofErr w:type="spellStart"/>
      <w:r>
        <w:t>Natale</w:t>
      </w:r>
      <w:proofErr w:type="spellEnd"/>
      <w:r>
        <w:t xml:space="preserve">, A., </w:t>
      </w:r>
      <w:proofErr w:type="spellStart"/>
      <w:r>
        <w:t>Kell</w:t>
      </w:r>
      <w:proofErr w:type="spellEnd"/>
      <w:r>
        <w:t>, L. 2015</w:t>
      </w:r>
      <w:r w:rsidR="00C92B21">
        <w:t>b</w:t>
      </w:r>
      <w:r>
        <w:t xml:space="preserve">. A summary of data to inform operating models in management strategy evaluation of Atlantic </w:t>
      </w:r>
      <w:proofErr w:type="spellStart"/>
      <w:r>
        <w:t>bluefin</w:t>
      </w:r>
      <w:proofErr w:type="spellEnd"/>
      <w:r>
        <w:t xml:space="preserve"> tuna. ICCAT SCRS/2015/180. </w:t>
      </w:r>
    </w:p>
    <w:p w14:paraId="3F40BB78" w14:textId="77777777" w:rsidR="00644C5B" w:rsidRPr="00644C5B" w:rsidRDefault="00644C5B" w:rsidP="000C05C8">
      <w:pPr>
        <w:spacing w:afterLines="40" w:after="96"/>
        <w:ind w:left="425" w:right="-11" w:hanging="425"/>
      </w:pPr>
      <w:proofErr w:type="spellStart"/>
      <w:r>
        <w:t>Cermeno</w:t>
      </w:r>
      <w:proofErr w:type="spellEnd"/>
      <w:r>
        <w:t xml:space="preserve">, P., </w:t>
      </w:r>
      <w:proofErr w:type="spellStart"/>
      <w:r>
        <w:t>Quilez-Badia</w:t>
      </w:r>
      <w:proofErr w:type="spellEnd"/>
      <w:r>
        <w:t xml:space="preserve">, G., </w:t>
      </w:r>
      <w:proofErr w:type="spellStart"/>
      <w:r>
        <w:t>Ospina</w:t>
      </w:r>
      <w:proofErr w:type="spellEnd"/>
      <w:r>
        <w:t xml:space="preserve">-Alvarez, A., </w:t>
      </w:r>
      <w:proofErr w:type="spellStart"/>
      <w:r>
        <w:t>Sainz</w:t>
      </w:r>
      <w:proofErr w:type="spellEnd"/>
      <w:r>
        <w:t xml:space="preserve">-Trapaga, S., </w:t>
      </w:r>
      <w:proofErr w:type="spellStart"/>
      <w:r>
        <w:t>Boustany</w:t>
      </w:r>
      <w:proofErr w:type="spellEnd"/>
      <w:r>
        <w:t xml:space="preserve">, A., Seitz, A.C., </w:t>
      </w:r>
      <w:proofErr w:type="spellStart"/>
      <w:r>
        <w:t>Tudela</w:t>
      </w:r>
      <w:proofErr w:type="spellEnd"/>
      <w:r>
        <w:t xml:space="preserve">, S., Block, B.A. 2015. Electronic tagging of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rPr>
          <w:i/>
        </w:rPr>
        <w:t xml:space="preserve">, </w:t>
      </w:r>
      <w:r>
        <w:t xml:space="preserve">L.) reveals habitat use and behaviors in the Mediterranean Sea. </w:t>
      </w:r>
      <w:proofErr w:type="spellStart"/>
      <w:r>
        <w:t>PLoS</w:t>
      </w:r>
      <w:proofErr w:type="spellEnd"/>
      <w:r>
        <w:t xml:space="preserve"> ONE 10 (2): e0116638. </w:t>
      </w:r>
      <w:proofErr w:type="spellStart"/>
      <w:proofErr w:type="gramStart"/>
      <w:r>
        <w:t>doi</w:t>
      </w:r>
      <w:proofErr w:type="spellEnd"/>
      <w:proofErr w:type="gramEnd"/>
      <w:r>
        <w:t>:</w:t>
      </w:r>
      <w:r w:rsidRPr="00644C5B">
        <w:t xml:space="preserve"> 0.1371/journal.pone.0116638</w:t>
      </w:r>
    </w:p>
    <w:p w14:paraId="00BCB46A" w14:textId="77777777" w:rsidR="00951331" w:rsidRDefault="00951331" w:rsidP="000C05C8">
      <w:pPr>
        <w:spacing w:afterLines="40" w:after="96"/>
        <w:ind w:left="425" w:right="-11" w:hanging="425"/>
      </w:pPr>
      <w:r>
        <w:t xml:space="preserve">Cochrane, K L., Butterworth, D.S., De Oliveira, J.A.A., </w:t>
      </w:r>
      <w:proofErr w:type="spellStart"/>
      <w:r>
        <w:t>Roel</w:t>
      </w:r>
      <w:proofErr w:type="spellEnd"/>
      <w:r>
        <w:t>, B.A., 1998. Management procedures in a fishery based on highly variable stocks and with conflicting objectives: experiences in the South African pelagic fishery. Rev. Fish. Biol. Fisher. 8, 177-214.</w:t>
      </w:r>
    </w:p>
    <w:p w14:paraId="203CA188" w14:textId="77777777" w:rsidR="00952F03" w:rsidRDefault="00952F03" w:rsidP="000C05C8">
      <w:pPr>
        <w:spacing w:afterLines="40" w:after="96"/>
        <w:ind w:left="425" w:right="-11" w:hanging="425"/>
      </w:pPr>
      <w:r>
        <w:t>Francis, R</w:t>
      </w:r>
      <w:proofErr w:type="gramStart"/>
      <w:r>
        <w:t>,I.C,C</w:t>
      </w:r>
      <w:proofErr w:type="gramEnd"/>
      <w:r>
        <w:t xml:space="preserve">. 2011. Data weighting in statistical fisheries stock assessment models. Can. J. Fish. Aqua. Sci. 68(6): 1124-1138. </w:t>
      </w:r>
    </w:p>
    <w:p w14:paraId="1C7AB069" w14:textId="77777777" w:rsidR="00951331" w:rsidRDefault="00951331" w:rsidP="000C05C8">
      <w:pPr>
        <w:spacing w:afterLines="40" w:after="96"/>
        <w:ind w:left="425" w:right="-11" w:hanging="425"/>
      </w:pPr>
      <w:r>
        <w:t>GBYP. 2014. ICCAT Atlantic wide research programme for Bluefin Tuna. Available online at: http://www.iccat.int/GBYP/en/index.htm [accessed October 2014]</w:t>
      </w:r>
    </w:p>
    <w:p w14:paraId="18C510F9" w14:textId="23EA1713" w:rsidR="00960681" w:rsidRDefault="00960681" w:rsidP="000C05C8">
      <w:pPr>
        <w:spacing w:afterLines="40" w:after="96"/>
        <w:ind w:left="425" w:right="-11" w:hanging="425"/>
      </w:pPr>
      <w:r>
        <w:lastRenderedPageBreak/>
        <w:t xml:space="preserve">ICCAT 2014. </w:t>
      </w:r>
      <w:r w:rsidR="006F30E4">
        <w:t xml:space="preserve">Executive summary 2014, status of Eastern stock of Atlantic </w:t>
      </w:r>
      <w:proofErr w:type="spellStart"/>
      <w:r w:rsidR="006F30E4">
        <w:t>bluefin</w:t>
      </w:r>
      <w:proofErr w:type="spellEnd"/>
      <w:r w:rsidR="006F30E4">
        <w:t xml:space="preserve"> tuna. Available at:</w:t>
      </w:r>
      <w:r w:rsidR="006F30E4" w:rsidRPr="006F30E4">
        <w:t xml:space="preserve"> </w:t>
      </w:r>
      <w:hyperlink r:id="rId9" w:history="1">
        <w:r w:rsidR="006F30E4" w:rsidRPr="006A19AF">
          <w:rPr>
            <w:rStyle w:val="Hyperlink"/>
          </w:rPr>
          <w:t>https://www.iccat.int/Documents/SCRS/ExecSum/BFT_EN.pdf</w:t>
        </w:r>
      </w:hyperlink>
      <w:r w:rsidR="006F30E4">
        <w:t xml:space="preserve">  [accessed September 2015]</w:t>
      </w:r>
    </w:p>
    <w:p w14:paraId="5B28DAE6" w14:textId="77777777" w:rsidR="00F25AC3" w:rsidRDefault="00F25AC3" w:rsidP="000C05C8">
      <w:pPr>
        <w:spacing w:afterLines="40" w:after="96"/>
        <w:ind w:left="425" w:right="-11" w:hanging="425"/>
      </w:pPr>
      <w:r>
        <w:t>ICCAT 2015</w:t>
      </w:r>
      <w:r w:rsidR="00B96C8E">
        <w:t>a</w:t>
      </w:r>
      <w:r>
        <w:t xml:space="preserve">. Report of the 2015 ICCAT </w:t>
      </w:r>
      <w:proofErr w:type="spellStart"/>
      <w:r>
        <w:t>bluefin</w:t>
      </w:r>
      <w:proofErr w:type="spellEnd"/>
      <w:r>
        <w:t xml:space="preserve"> data preparatory meeting. Available at: </w:t>
      </w:r>
      <w:hyperlink r:id="rId10" w:history="1">
        <w:r w:rsidRPr="007C34F2">
          <w:rPr>
            <w:rStyle w:val="Hyperlink"/>
          </w:rPr>
          <w:t>https://www.iccat.int/Documents/Meetings/Docs/BFT_DATA_PREP_2015_eng.pdf</w:t>
        </w:r>
      </w:hyperlink>
      <w:r>
        <w:t xml:space="preserve"> [accessed September 2015). </w:t>
      </w:r>
    </w:p>
    <w:p w14:paraId="49629D78" w14:textId="77777777" w:rsidR="00B96C8E" w:rsidRDefault="00B96C8E" w:rsidP="000C05C8">
      <w:pPr>
        <w:spacing w:afterLines="40" w:after="96"/>
        <w:ind w:left="425" w:right="-11" w:hanging="425"/>
      </w:pPr>
      <w:r>
        <w:t xml:space="preserve">ICCAT 2015b. Information published on </w:t>
      </w:r>
      <w:proofErr w:type="spellStart"/>
      <w:r>
        <w:t>TaskII</w:t>
      </w:r>
      <w:proofErr w:type="spellEnd"/>
      <w:r>
        <w:t xml:space="preserve"> – Catch and Effort (T2CE). Available at: </w:t>
      </w:r>
      <w:hyperlink r:id="rId11" w:history="1">
        <w:r w:rsidRPr="007C34F2">
          <w:rPr>
            <w:rStyle w:val="Hyperlink"/>
          </w:rPr>
          <w:t>https://www.iccat.int/Data/t2ce-ENG.pdf</w:t>
        </w:r>
      </w:hyperlink>
      <w:r>
        <w:t xml:space="preserve"> [accessed September 2015]</w:t>
      </w:r>
    </w:p>
    <w:p w14:paraId="483B3956" w14:textId="77777777" w:rsidR="00042CBB" w:rsidRDefault="00042CBB" w:rsidP="000C05C8">
      <w:pPr>
        <w:spacing w:afterLines="40" w:after="96"/>
        <w:ind w:left="425" w:right="-11" w:hanging="425"/>
      </w:pPr>
      <w:r>
        <w:t>Ingram, G.W., Jr., D. Alvarez-</w:t>
      </w:r>
      <w:proofErr w:type="spellStart"/>
      <w:r>
        <w:t>Berastegui</w:t>
      </w:r>
      <w:proofErr w:type="spellEnd"/>
      <w:r>
        <w:t xml:space="preserve">, P. </w:t>
      </w:r>
      <w:proofErr w:type="spellStart"/>
      <w:r>
        <w:t>Reglero</w:t>
      </w:r>
      <w:proofErr w:type="spellEnd"/>
      <w:r>
        <w:t xml:space="preserve">, R. </w:t>
      </w:r>
      <w:proofErr w:type="spellStart"/>
      <w:r>
        <w:t>Balbín</w:t>
      </w:r>
      <w:proofErr w:type="spellEnd"/>
      <w:r>
        <w:t xml:space="preserve">, A. García5, and F. </w:t>
      </w:r>
      <w:proofErr w:type="spellStart"/>
      <w:r>
        <w:t>Alemany</w:t>
      </w:r>
      <w:proofErr w:type="spellEnd"/>
      <w:r>
        <w:t xml:space="preserve">.  Indices of larval </w:t>
      </w:r>
      <w:proofErr w:type="spellStart"/>
      <w:r>
        <w:t>bluefin</w:t>
      </w:r>
      <w:proofErr w:type="spellEnd"/>
      <w:r>
        <w:t xml:space="preserve"> tuna (</w:t>
      </w:r>
      <w:proofErr w:type="spellStart"/>
      <w:r>
        <w:t>Thunnus</w:t>
      </w:r>
      <w:proofErr w:type="spellEnd"/>
      <w:r>
        <w:t xml:space="preserve"> </w:t>
      </w:r>
      <w:proofErr w:type="spellStart"/>
      <w:r>
        <w:t>thynnus</w:t>
      </w:r>
      <w:proofErr w:type="spellEnd"/>
      <w:r>
        <w:t>) in the Western Mediterranean Sea (2001-2013).  SCRS/2015/035</w:t>
      </w:r>
    </w:p>
    <w:p w14:paraId="04A57ED8" w14:textId="00802EE5" w:rsidR="000934A5" w:rsidRPr="00550FEE" w:rsidRDefault="000934A5" w:rsidP="000934A5">
      <w:pPr>
        <w:spacing w:afterLines="40" w:after="96"/>
        <w:ind w:left="425" w:right="-11" w:hanging="425"/>
      </w:pPr>
      <w:r w:rsidRPr="00550FEE">
        <w:t xml:space="preserve">Martell, S. 2015. The </w:t>
      </w:r>
      <w:proofErr w:type="spellStart"/>
      <w:r w:rsidRPr="00550FEE">
        <w:t>iSCAM</w:t>
      </w:r>
      <w:proofErr w:type="spellEnd"/>
      <w:r w:rsidRPr="00550FEE">
        <w:t xml:space="preserve"> project. Available at: </w:t>
      </w:r>
      <w:hyperlink r:id="rId12" w:history="1">
        <w:r w:rsidRPr="007C2EAC">
          <w:rPr>
            <w:color w:val="0563C1"/>
            <w:u w:val="single"/>
          </w:rPr>
          <w:t>https://code.google.com/p/iscam-project/</w:t>
        </w:r>
      </w:hyperlink>
      <w:r w:rsidRPr="00550FEE">
        <w:t xml:space="preserve"> [accessed 9/9/2015]</w:t>
      </w:r>
    </w:p>
    <w:p w14:paraId="79890C65" w14:textId="78973E05" w:rsidR="00951331" w:rsidRDefault="00951331" w:rsidP="000C05C8">
      <w:pPr>
        <w:spacing w:afterLines="40" w:after="96"/>
        <w:ind w:left="425" w:right="-11" w:hanging="425"/>
      </w:pPr>
      <w:r>
        <w:t xml:space="preserve">Punt, A.E., Butterworth, D.S., de Moore, C. L., De Oliveira, J. A. A., Haddon, M. 2014. Management strategy evaluation: best practices. Fish and Fisheries. </w:t>
      </w:r>
      <w:proofErr w:type="spellStart"/>
      <w:proofErr w:type="gramStart"/>
      <w:r>
        <w:t>doi</w:t>
      </w:r>
      <w:proofErr w:type="spellEnd"/>
      <w:proofErr w:type="gramEnd"/>
      <w:r w:rsidRPr="00951331">
        <w:t>: 10.1111/faf.12104</w:t>
      </w:r>
      <w:r w:rsidR="00745B9E">
        <w:t>.</w:t>
      </w:r>
    </w:p>
    <w:p w14:paraId="0FEC5576" w14:textId="151EEDCC" w:rsidR="00745B9E" w:rsidRPr="00745B9E" w:rsidRDefault="00745B9E" w:rsidP="000C05C8">
      <w:pPr>
        <w:spacing w:afterLines="40" w:after="96"/>
        <w:ind w:left="425" w:right="-11" w:hanging="425"/>
      </w:pPr>
      <w:r>
        <w:t xml:space="preserve">Richardson, D.E., </w:t>
      </w:r>
      <w:proofErr w:type="spellStart"/>
      <w:r>
        <w:t>Marancik</w:t>
      </w:r>
      <w:proofErr w:type="spellEnd"/>
      <w:r>
        <w:t xml:space="preserve">, K.E., </w:t>
      </w:r>
      <w:proofErr w:type="spellStart"/>
      <w:r>
        <w:t>Guyon</w:t>
      </w:r>
      <w:proofErr w:type="spellEnd"/>
      <w:r>
        <w:t xml:space="preserve">, J.R., </w:t>
      </w:r>
      <w:proofErr w:type="spellStart"/>
      <w:r>
        <w:t>Lutcavage</w:t>
      </w:r>
      <w:proofErr w:type="spellEnd"/>
      <w:r>
        <w:t xml:space="preserve">, M.E., </w:t>
      </w:r>
      <w:proofErr w:type="spellStart"/>
      <w:r>
        <w:t>Galuardi</w:t>
      </w:r>
      <w:proofErr w:type="spellEnd"/>
      <w:r>
        <w:t xml:space="preserve">, B., lam, C.H., Walsh, H.J., </w:t>
      </w:r>
      <w:proofErr w:type="spellStart"/>
      <w:r>
        <w:t>Wildes</w:t>
      </w:r>
      <w:proofErr w:type="spellEnd"/>
      <w:r>
        <w:t xml:space="preserve">, S., Yates, D.A., Hare,  J.A. 2015. Discovery of a spawning ground reveals diverse migration strategies in Atlantic </w:t>
      </w:r>
      <w:proofErr w:type="spellStart"/>
      <w:r>
        <w:t>bluefin</w:t>
      </w:r>
      <w:proofErr w:type="spellEnd"/>
      <w:r>
        <w:t xml:space="preserve"> tuna (</w:t>
      </w:r>
      <w:proofErr w:type="spellStart"/>
      <w:r>
        <w:rPr>
          <w:i/>
        </w:rPr>
        <w:t>Thunnus</w:t>
      </w:r>
      <w:proofErr w:type="spellEnd"/>
      <w:r>
        <w:rPr>
          <w:i/>
        </w:rPr>
        <w:t xml:space="preserve"> </w:t>
      </w:r>
      <w:proofErr w:type="spellStart"/>
      <w:r>
        <w:rPr>
          <w:i/>
        </w:rPr>
        <w:t>thynnus</w:t>
      </w:r>
      <w:proofErr w:type="spellEnd"/>
      <w:r>
        <w:t xml:space="preserve">). Proc. Nat. Acad. Sci. U.S.A. 113(12): 3299-3304. </w:t>
      </w:r>
    </w:p>
    <w:p w14:paraId="2C34E9AF" w14:textId="77777777" w:rsidR="000C05C8" w:rsidRDefault="004D02A3" w:rsidP="000C05C8">
      <w:pPr>
        <w:spacing w:afterLines="40" w:after="96"/>
        <w:ind w:left="426" w:hanging="426"/>
        <w:rPr>
          <w:rFonts w:cs="Times New Roman"/>
          <w:szCs w:val="20"/>
        </w:rPr>
      </w:pPr>
      <w:r w:rsidRPr="004D02A3">
        <w:rPr>
          <w:rFonts w:cs="Times New Roman"/>
          <w:szCs w:val="20"/>
        </w:rPr>
        <w:t>Thompson, G.G. 1994. Confounding of gear selectivity and the natural mortality rate in cases where the former is a non-monotone function of age. Can. J. Fish. Aqua. Sci. 51:2654-2664.</w:t>
      </w:r>
    </w:p>
    <w:p w14:paraId="41570781" w14:textId="77777777" w:rsidR="000C33E3" w:rsidRDefault="000C33E3" w:rsidP="00532620">
      <w:pPr>
        <w:rPr>
          <w:rFonts w:cs="Times New Roman"/>
          <w:szCs w:val="20"/>
        </w:rPr>
      </w:pPr>
    </w:p>
    <w:p w14:paraId="4688FBCE" w14:textId="77777777" w:rsidR="006E5BE6" w:rsidRDefault="006E5BE6" w:rsidP="00532620">
      <w:pPr>
        <w:rPr>
          <w:rFonts w:cs="Times New Roman"/>
          <w:szCs w:val="20"/>
        </w:rPr>
      </w:pPr>
    </w:p>
    <w:p w14:paraId="42C7B43C" w14:textId="23BB70D5" w:rsidR="000C33E3" w:rsidRDefault="00FD0179" w:rsidP="000C33E3">
      <w:r w:rsidRPr="00FD0179">
        <w:rPr>
          <w:b/>
        </w:rPr>
        <w:t>Table 1.</w:t>
      </w:r>
      <w:r>
        <w:t xml:space="preserve"> Stock of origin observations by area (Figure 1, left panel) and quarter. Grey shaded areas are not applicable due to spawning site fidelity, orange shaded areas are pertinent data gaps. </w:t>
      </w:r>
    </w:p>
    <w:p w14:paraId="100483FB" w14:textId="71A76F36" w:rsidR="00FD0179" w:rsidRDefault="00FD0179" w:rsidP="000C33E3">
      <w:r w:rsidRPr="00FD0179">
        <w:rPr>
          <w:noProof/>
          <w:lang w:eastAsia="en-CA"/>
        </w:rPr>
        <w:drawing>
          <wp:inline distT="0" distB="0" distL="0" distR="0" wp14:anchorId="48D066C7" wp14:editId="158654F3">
            <wp:extent cx="3022979" cy="220094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622" cy="2205057"/>
                    </a:xfrm>
                    <a:prstGeom prst="rect">
                      <a:avLst/>
                    </a:prstGeom>
                    <a:noFill/>
                    <a:ln>
                      <a:noFill/>
                    </a:ln>
                  </pic:spPr>
                </pic:pic>
              </a:graphicData>
            </a:graphic>
          </wp:inline>
        </w:drawing>
      </w:r>
    </w:p>
    <w:p w14:paraId="443A32C3" w14:textId="77777777" w:rsidR="00FD0179" w:rsidRDefault="00FD0179" w:rsidP="000C33E3"/>
    <w:p w14:paraId="68E46721" w14:textId="77777777" w:rsidR="00FD0179" w:rsidRDefault="00FD0179" w:rsidP="000C33E3"/>
    <w:p w14:paraId="29CBB461" w14:textId="77777777" w:rsidR="00D35A60" w:rsidRDefault="00D35A60" w:rsidP="000C33E3"/>
    <w:p w14:paraId="741DC791" w14:textId="0712C089" w:rsidR="00FD0179" w:rsidRDefault="00FD0179" w:rsidP="000C33E3">
      <w:r w:rsidRPr="00FD0179">
        <w:rPr>
          <w:b/>
        </w:rPr>
        <w:t>Table 2.</w:t>
      </w:r>
      <w:r>
        <w:t xml:space="preserve"> PSAT tagging transitions among areas (Figure 1, left panel) by quarter. </w:t>
      </w:r>
    </w:p>
    <w:p w14:paraId="70758298" w14:textId="4BAA7D35" w:rsidR="00FD0179" w:rsidRDefault="00FD0179" w:rsidP="000C33E3">
      <w:r>
        <w:rPr>
          <w:noProof/>
          <w:lang w:eastAsia="en-CA"/>
        </w:rPr>
        <w:lastRenderedPageBreak/>
        <w:drawing>
          <wp:inline distT="0" distB="0" distL="0" distR="0" wp14:anchorId="30D20500" wp14:editId="3699C57E">
            <wp:extent cx="4831753" cy="3065031"/>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6970" cy="3068341"/>
                    </a:xfrm>
                    <a:prstGeom prst="rect">
                      <a:avLst/>
                    </a:prstGeom>
                    <a:noFill/>
                  </pic:spPr>
                </pic:pic>
              </a:graphicData>
            </a:graphic>
          </wp:inline>
        </w:drawing>
      </w:r>
    </w:p>
    <w:p w14:paraId="18D71859" w14:textId="77777777" w:rsidR="00FD0179" w:rsidRDefault="00FD0179" w:rsidP="000C33E3"/>
    <w:p w14:paraId="0ECDBC91" w14:textId="77777777" w:rsidR="00FD0179" w:rsidRPr="00DC6DC0" w:rsidRDefault="00FD0179" w:rsidP="000C33E3"/>
    <w:p w14:paraId="30F25FA3" w14:textId="77777777" w:rsidR="00E74C0F" w:rsidRDefault="00E74C0F" w:rsidP="00380CA6"/>
    <w:p w14:paraId="5D4BB599" w14:textId="77777777" w:rsidR="00E74C0F" w:rsidRDefault="00E74C0F" w:rsidP="00380CA6"/>
    <w:p w14:paraId="3C829010" w14:textId="5F1F04E2" w:rsidR="000C33E3" w:rsidRDefault="00CF34C5" w:rsidP="006A6C8C">
      <w:pPr>
        <w:keepNext/>
        <w:keepLines/>
      </w:pPr>
      <w:r>
        <w:rPr>
          <w:noProof/>
          <w:lang w:eastAsia="en-CA"/>
        </w:rPr>
        <w:drawing>
          <wp:inline distT="0" distB="0" distL="0" distR="0" wp14:anchorId="41AE9B1F" wp14:editId="37234B22">
            <wp:extent cx="2408555" cy="240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51" t="-632" r="11463" b="13302"/>
                    <a:stretch/>
                  </pic:blipFill>
                  <pic:spPr bwMode="auto">
                    <a:xfrm>
                      <a:off x="0" y="0"/>
                      <a:ext cx="2442689" cy="2443529"/>
                    </a:xfrm>
                    <a:prstGeom prst="rect">
                      <a:avLst/>
                    </a:prstGeom>
                    <a:noFill/>
                    <a:ln>
                      <a:noFill/>
                    </a:ln>
                    <a:extLst>
                      <a:ext uri="{53640926-AAD7-44D8-BBD7-CCE9431645EC}">
                        <a14:shadowObscured xmlns:a14="http://schemas.microsoft.com/office/drawing/2010/main"/>
                      </a:ext>
                    </a:extLst>
                  </pic:spPr>
                </pic:pic>
              </a:graphicData>
            </a:graphic>
          </wp:inline>
        </w:drawing>
      </w:r>
      <w:r w:rsidR="00DA3073" w:rsidRPr="00DA3073">
        <w:rPr>
          <w:noProof/>
          <w:lang w:eastAsia="en-CA"/>
        </w:rPr>
        <w:t xml:space="preserve"> </w:t>
      </w:r>
      <w:r w:rsidR="00DA3073">
        <w:rPr>
          <w:noProof/>
          <w:lang w:eastAsia="en-CA"/>
        </w:rPr>
        <w:drawing>
          <wp:inline distT="0" distB="0" distL="0" distR="0" wp14:anchorId="2906DAFA" wp14:editId="7504B886">
            <wp:extent cx="2546350" cy="2381534"/>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524" r="2637" b="911"/>
                    <a:stretch/>
                  </pic:blipFill>
                  <pic:spPr bwMode="auto">
                    <a:xfrm>
                      <a:off x="0" y="0"/>
                      <a:ext cx="2579059" cy="2412126"/>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0BAB9686" w14:textId="052FD003" w:rsidR="00CF34C5" w:rsidRDefault="00F25AC3" w:rsidP="006A6C8C">
      <w:pPr>
        <w:keepNext/>
        <w:keepLines/>
      </w:pPr>
      <w:r>
        <w:rPr>
          <w:b/>
        </w:rPr>
        <w:t xml:space="preserve">Figure </w:t>
      </w:r>
      <w:r w:rsidR="00CF34C5" w:rsidRPr="00CF34C5">
        <w:rPr>
          <w:b/>
        </w:rPr>
        <w:t>1.</w:t>
      </w:r>
      <w:r w:rsidR="00DA3073">
        <w:rPr>
          <w:b/>
        </w:rPr>
        <w:t xml:space="preserve"> </w:t>
      </w:r>
      <w:r w:rsidR="00CF34C5">
        <w:t xml:space="preserve"> </w:t>
      </w:r>
      <w:r w:rsidR="00DA3073">
        <w:t>The 8-area s</w:t>
      </w:r>
      <w:r w:rsidR="00CF34C5">
        <w:t xml:space="preserve">patial definitions of the 2015 ICCAT </w:t>
      </w:r>
      <w:proofErr w:type="spellStart"/>
      <w:r w:rsidR="00CF34C5">
        <w:t>bluefin</w:t>
      </w:r>
      <w:proofErr w:type="spellEnd"/>
      <w:r w:rsidR="00CF34C5">
        <w:t xml:space="preserve"> tuna data preparatory meeting (ICCAT 2015</w:t>
      </w:r>
      <w:r w:rsidR="00DA3073">
        <w:t>, left</w:t>
      </w:r>
      <w:r w:rsidR="00CF34C5">
        <w:t>)</w:t>
      </w:r>
      <w:r w:rsidR="00DA3073">
        <w:t xml:space="preserve"> and the 11-area spatial definitions of the latest electronic tagging disaggregation (Lauretta. pers. comm., right). </w:t>
      </w:r>
    </w:p>
    <w:p w14:paraId="50BA3A77" w14:textId="77777777" w:rsidR="002D53D1" w:rsidRDefault="002D53D1" w:rsidP="000C33E3"/>
    <w:p w14:paraId="1361D262" w14:textId="77777777" w:rsidR="002F0BD2" w:rsidRDefault="002F0BD2" w:rsidP="000C33E3"/>
    <w:p w14:paraId="2AD0A357" w14:textId="6021E55E" w:rsidR="00CF34C5" w:rsidRDefault="000E4153" w:rsidP="000C33E3">
      <w:r>
        <w:rPr>
          <w:noProof/>
          <w:lang w:eastAsia="en-CA"/>
        </w:rPr>
        <w:lastRenderedPageBreak/>
        <w:drawing>
          <wp:inline distT="0" distB="0" distL="0" distR="0" wp14:anchorId="0F692B68" wp14:editId="70E2F89C">
            <wp:extent cx="5732145" cy="4458335"/>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4458335"/>
                    </a:xfrm>
                    <a:prstGeom prst="rect">
                      <a:avLst/>
                    </a:prstGeom>
                  </pic:spPr>
                </pic:pic>
              </a:graphicData>
            </a:graphic>
          </wp:inline>
        </w:drawing>
      </w:r>
    </w:p>
    <w:p w14:paraId="373E9875" w14:textId="19E67BF3" w:rsidR="003E5F26" w:rsidRDefault="003E5F26" w:rsidP="00532620">
      <w:pPr>
        <w:rPr>
          <w:rFonts w:cs="Times New Roman"/>
          <w:szCs w:val="20"/>
        </w:rPr>
      </w:pPr>
      <w:r w:rsidRPr="000E4153">
        <w:rPr>
          <w:rFonts w:cs="Times New Roman"/>
          <w:b/>
          <w:szCs w:val="20"/>
        </w:rPr>
        <w:t xml:space="preserve">Figure </w:t>
      </w:r>
      <w:r w:rsidR="000E4153" w:rsidRPr="000E4153">
        <w:rPr>
          <w:rFonts w:cs="Times New Roman"/>
          <w:b/>
          <w:szCs w:val="20"/>
        </w:rPr>
        <w:t>2</w:t>
      </w:r>
      <w:r w:rsidRPr="000E4153">
        <w:rPr>
          <w:rFonts w:cs="Times New Roman"/>
          <w:b/>
          <w:szCs w:val="20"/>
        </w:rPr>
        <w:t>.</w:t>
      </w:r>
      <w:r>
        <w:rPr>
          <w:rFonts w:cs="Times New Roman"/>
          <w:szCs w:val="20"/>
        </w:rPr>
        <w:t xml:space="preserve"> </w:t>
      </w:r>
      <w:r w:rsidR="000E4153">
        <w:rPr>
          <w:rFonts w:cs="Times New Roman"/>
          <w:szCs w:val="20"/>
        </w:rPr>
        <w:t xml:space="preserve">The observed versus predicted master relative abundance index (note that the y-axis is rescaled among rows). The relative abundance trends of the Eastern and Westerns stocks are represented by the red and blue lines respectively. The violet line represents the relative abundance the stocks combined. </w:t>
      </w:r>
    </w:p>
    <w:p w14:paraId="268E64C9" w14:textId="77777777" w:rsidR="00E16B97" w:rsidRDefault="00E16B97" w:rsidP="00532620">
      <w:pPr>
        <w:rPr>
          <w:rFonts w:cs="Times New Roman"/>
          <w:szCs w:val="20"/>
        </w:rPr>
      </w:pPr>
    </w:p>
    <w:p w14:paraId="3FBD4717" w14:textId="09B85900" w:rsidR="00E16B97" w:rsidRDefault="00E16B97" w:rsidP="00532620">
      <w:pPr>
        <w:rPr>
          <w:rFonts w:cs="Times New Roman"/>
          <w:szCs w:val="20"/>
        </w:rPr>
      </w:pPr>
      <w:r>
        <w:rPr>
          <w:noProof/>
          <w:lang w:eastAsia="en-CA"/>
        </w:rPr>
        <w:lastRenderedPageBreak/>
        <w:drawing>
          <wp:inline distT="0" distB="0" distL="0" distR="0" wp14:anchorId="003B0290" wp14:editId="0D4FBC85">
            <wp:extent cx="5730240" cy="4320000"/>
            <wp:effectExtent l="0" t="0" r="381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t="3957" b="-888"/>
                    <a:stretch/>
                  </pic:blipFill>
                  <pic:spPr bwMode="auto">
                    <a:xfrm>
                      <a:off x="0" y="0"/>
                      <a:ext cx="5732145" cy="4321436"/>
                    </a:xfrm>
                    <a:prstGeom prst="rect">
                      <a:avLst/>
                    </a:prstGeom>
                    <a:ln>
                      <a:noFill/>
                    </a:ln>
                    <a:extLst>
                      <a:ext uri="{53640926-AAD7-44D8-BBD7-CCE9431645EC}">
                        <a14:shadowObscured xmlns:a14="http://schemas.microsoft.com/office/drawing/2010/main"/>
                      </a:ext>
                    </a:extLst>
                  </pic:spPr>
                </pic:pic>
              </a:graphicData>
            </a:graphic>
          </wp:inline>
        </w:drawing>
      </w:r>
    </w:p>
    <w:p w14:paraId="08692B5A" w14:textId="4BB69734" w:rsidR="00E16B97" w:rsidRDefault="00E16B97" w:rsidP="00532620">
      <w:pPr>
        <w:rPr>
          <w:rFonts w:cs="Times New Roman"/>
          <w:szCs w:val="20"/>
        </w:rPr>
      </w:pPr>
      <w:r w:rsidRPr="00432337">
        <w:rPr>
          <w:rFonts w:cs="Times New Roman"/>
          <w:b/>
          <w:szCs w:val="20"/>
        </w:rPr>
        <w:t>Figure 3.</w:t>
      </w:r>
      <w:r w:rsidR="00432337">
        <w:rPr>
          <w:rFonts w:cs="Times New Roman"/>
          <w:szCs w:val="20"/>
        </w:rPr>
        <w:t xml:space="preserve"> Model predicted (lines) versus observed (points) log catches of Atlantic </w:t>
      </w:r>
      <w:proofErr w:type="spellStart"/>
      <w:r w:rsidR="00432337">
        <w:rPr>
          <w:rFonts w:cs="Times New Roman"/>
          <w:szCs w:val="20"/>
        </w:rPr>
        <w:t>bluefin</w:t>
      </w:r>
      <w:proofErr w:type="spellEnd"/>
      <w:r w:rsidR="00432337">
        <w:rPr>
          <w:rFonts w:cs="Times New Roman"/>
          <w:szCs w:val="20"/>
        </w:rPr>
        <w:t xml:space="preserve"> tuna. </w:t>
      </w:r>
    </w:p>
    <w:p w14:paraId="7973EC57" w14:textId="77777777" w:rsidR="00E16B97" w:rsidRDefault="00E16B97" w:rsidP="00532620">
      <w:pPr>
        <w:rPr>
          <w:rFonts w:cs="Times New Roman"/>
          <w:szCs w:val="20"/>
        </w:rPr>
      </w:pPr>
    </w:p>
    <w:p w14:paraId="573CFC40" w14:textId="3D288A94" w:rsidR="00E16B97" w:rsidRDefault="00E16B97" w:rsidP="00532620">
      <w:pPr>
        <w:rPr>
          <w:rFonts w:cs="Times New Roman"/>
          <w:szCs w:val="20"/>
        </w:rPr>
      </w:pPr>
      <w:r>
        <w:rPr>
          <w:noProof/>
          <w:lang w:eastAsia="en-CA"/>
        </w:rPr>
        <w:drawing>
          <wp:inline distT="0" distB="0" distL="0" distR="0" wp14:anchorId="57592A47" wp14:editId="14643591">
            <wp:extent cx="5732145" cy="40544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054475"/>
                    </a:xfrm>
                    <a:prstGeom prst="rect">
                      <a:avLst/>
                    </a:prstGeom>
                  </pic:spPr>
                </pic:pic>
              </a:graphicData>
            </a:graphic>
          </wp:inline>
        </w:drawing>
      </w:r>
    </w:p>
    <w:p w14:paraId="3ED637B3" w14:textId="679AE91C" w:rsidR="00E16B97" w:rsidRDefault="00E16B97" w:rsidP="00532620">
      <w:pPr>
        <w:rPr>
          <w:rFonts w:cs="Times New Roman"/>
          <w:szCs w:val="20"/>
        </w:rPr>
      </w:pPr>
      <w:r w:rsidRPr="00432337">
        <w:rPr>
          <w:rFonts w:cs="Times New Roman"/>
          <w:b/>
          <w:szCs w:val="20"/>
        </w:rPr>
        <w:t>Figure 4.</w:t>
      </w:r>
      <w:r>
        <w:rPr>
          <w:rFonts w:cs="Times New Roman"/>
          <w:szCs w:val="20"/>
        </w:rPr>
        <w:t xml:space="preserve">  </w:t>
      </w:r>
      <w:r w:rsidR="00432337">
        <w:rPr>
          <w:rFonts w:cs="Times New Roman"/>
          <w:szCs w:val="20"/>
        </w:rPr>
        <w:t>Model predicted (blue line) versus observed (orange bars) length composition data for the trap fleet type (TP: all trap gear group code fisheries from 1990 – 2009)</w:t>
      </w:r>
      <w:r>
        <w:rPr>
          <w:rFonts w:cs="Times New Roman"/>
          <w:szCs w:val="20"/>
        </w:rPr>
        <w:t xml:space="preserve">. </w:t>
      </w:r>
      <w:r w:rsidR="00432337">
        <w:rPr>
          <w:rFonts w:cs="Times New Roman"/>
          <w:szCs w:val="20"/>
        </w:rPr>
        <w:t xml:space="preserve">The numbers in the top right hand corner of each panel are the number of observations. </w:t>
      </w:r>
    </w:p>
    <w:p w14:paraId="1A97C9C6" w14:textId="77777777" w:rsidR="00E16B97" w:rsidRDefault="00E16B97" w:rsidP="00532620">
      <w:pPr>
        <w:rPr>
          <w:rFonts w:cs="Times New Roman"/>
          <w:szCs w:val="20"/>
        </w:rPr>
      </w:pPr>
    </w:p>
    <w:p w14:paraId="2F5FCB16" w14:textId="77777777" w:rsidR="00E16B97" w:rsidRDefault="00E16B97" w:rsidP="00532620">
      <w:pPr>
        <w:rPr>
          <w:rFonts w:cs="Times New Roman"/>
          <w:szCs w:val="20"/>
        </w:rPr>
      </w:pPr>
    </w:p>
    <w:p w14:paraId="08FEDDA4" w14:textId="77777777" w:rsidR="00E16B97" w:rsidRDefault="00E16B97" w:rsidP="00532620">
      <w:pPr>
        <w:rPr>
          <w:rFonts w:cs="Times New Roman"/>
          <w:szCs w:val="20"/>
        </w:rPr>
      </w:pPr>
    </w:p>
    <w:p w14:paraId="7D4440B9" w14:textId="0CB2D232" w:rsidR="00E16B97" w:rsidRDefault="00E16B97" w:rsidP="00532620">
      <w:pPr>
        <w:rPr>
          <w:rFonts w:cs="Times New Roman"/>
          <w:szCs w:val="20"/>
        </w:rPr>
      </w:pPr>
      <w:r>
        <w:rPr>
          <w:noProof/>
          <w:lang w:eastAsia="en-CA"/>
        </w:rPr>
        <w:drawing>
          <wp:inline distT="0" distB="0" distL="0" distR="0" wp14:anchorId="43366CCE" wp14:editId="71A7A8AD">
            <wp:extent cx="5732145" cy="43808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380865"/>
                    </a:xfrm>
                    <a:prstGeom prst="rect">
                      <a:avLst/>
                    </a:prstGeom>
                  </pic:spPr>
                </pic:pic>
              </a:graphicData>
            </a:graphic>
          </wp:inline>
        </w:drawing>
      </w:r>
    </w:p>
    <w:p w14:paraId="47FEDC19" w14:textId="37F27BA6" w:rsidR="00E16B97" w:rsidRDefault="00E16B97" w:rsidP="00532620">
      <w:pPr>
        <w:rPr>
          <w:rFonts w:cs="Times New Roman"/>
          <w:szCs w:val="20"/>
        </w:rPr>
      </w:pPr>
      <w:r w:rsidRPr="00432337">
        <w:rPr>
          <w:rFonts w:cs="Times New Roman"/>
          <w:b/>
          <w:szCs w:val="20"/>
        </w:rPr>
        <w:t>Figure 5.</w:t>
      </w:r>
      <w:r w:rsidR="00432337">
        <w:rPr>
          <w:rFonts w:cs="Times New Roman"/>
          <w:szCs w:val="20"/>
        </w:rPr>
        <w:t xml:space="preserve"> Model predicted (blue line) versus observed (orange bars) length composition data for the purse </w:t>
      </w:r>
      <w:proofErr w:type="gramStart"/>
      <w:r w:rsidR="00432337">
        <w:rPr>
          <w:rFonts w:cs="Times New Roman"/>
          <w:szCs w:val="20"/>
        </w:rPr>
        <w:t>seine  fleet</w:t>
      </w:r>
      <w:proofErr w:type="gramEnd"/>
      <w:r w:rsidR="00432337">
        <w:rPr>
          <w:rFonts w:cs="Times New Roman"/>
          <w:szCs w:val="20"/>
        </w:rPr>
        <w:t xml:space="preserve"> type (PS: all purse seine gear group code fisheries from 1960 – 2009). The numbers in the top right hand corner of each panel are the number of observations.</w:t>
      </w:r>
    </w:p>
    <w:p w14:paraId="7C6D04EE" w14:textId="77777777" w:rsidR="00E16B97" w:rsidRDefault="00E16B97" w:rsidP="00532620">
      <w:pPr>
        <w:rPr>
          <w:rFonts w:cs="Times New Roman"/>
          <w:szCs w:val="20"/>
        </w:rPr>
      </w:pPr>
    </w:p>
    <w:p w14:paraId="3A0704E0" w14:textId="77777777" w:rsidR="0008077F" w:rsidRDefault="0008077F" w:rsidP="00532620">
      <w:pPr>
        <w:rPr>
          <w:rFonts w:cs="Times New Roman"/>
          <w:szCs w:val="20"/>
        </w:rPr>
      </w:pPr>
    </w:p>
    <w:p w14:paraId="3A52D699" w14:textId="00FE1FDD" w:rsidR="0008077F" w:rsidRDefault="0008077F" w:rsidP="00532620">
      <w:pPr>
        <w:rPr>
          <w:rFonts w:cs="Times New Roman"/>
          <w:szCs w:val="20"/>
        </w:rPr>
      </w:pPr>
      <w:r>
        <w:rPr>
          <w:noProof/>
          <w:lang w:eastAsia="en-CA"/>
        </w:rPr>
        <w:lastRenderedPageBreak/>
        <w:drawing>
          <wp:inline distT="0" distB="0" distL="0" distR="0" wp14:anchorId="301911B1" wp14:editId="4D7D470D">
            <wp:extent cx="5732145" cy="4252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252595"/>
                    </a:xfrm>
                    <a:prstGeom prst="rect">
                      <a:avLst/>
                    </a:prstGeom>
                  </pic:spPr>
                </pic:pic>
              </a:graphicData>
            </a:graphic>
          </wp:inline>
        </w:drawing>
      </w:r>
    </w:p>
    <w:p w14:paraId="5A1B8C8C" w14:textId="5BB6AD15" w:rsidR="0008077F" w:rsidRDefault="00E16B97" w:rsidP="00532620">
      <w:pPr>
        <w:rPr>
          <w:rFonts w:cs="Times New Roman"/>
          <w:szCs w:val="20"/>
        </w:rPr>
      </w:pPr>
      <w:r w:rsidRPr="00432337">
        <w:rPr>
          <w:rFonts w:cs="Times New Roman"/>
          <w:b/>
          <w:szCs w:val="20"/>
        </w:rPr>
        <w:t>Figure 6.</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longline  fleet</w:t>
      </w:r>
      <w:proofErr w:type="gramEnd"/>
      <w:r w:rsidR="00432337">
        <w:rPr>
          <w:rFonts w:cs="Times New Roman"/>
          <w:szCs w:val="20"/>
        </w:rPr>
        <w:t xml:space="preserve"> type (LL: all purse seine gear group code fisheries from 1960 – 2009). The numbers in the top right hand corner of each panel are the number of observations.</w:t>
      </w:r>
    </w:p>
    <w:p w14:paraId="0A1AF0AC" w14:textId="77777777" w:rsidR="00432337" w:rsidRDefault="00432337" w:rsidP="00532620">
      <w:pPr>
        <w:rPr>
          <w:rFonts w:cs="Times New Roman"/>
          <w:szCs w:val="20"/>
        </w:rPr>
      </w:pPr>
    </w:p>
    <w:p w14:paraId="06650F03" w14:textId="7B40D189" w:rsidR="0008077F" w:rsidRDefault="0008077F" w:rsidP="00532620">
      <w:pPr>
        <w:rPr>
          <w:rFonts w:cs="Times New Roman"/>
          <w:szCs w:val="20"/>
        </w:rPr>
      </w:pPr>
      <w:r>
        <w:rPr>
          <w:noProof/>
          <w:lang w:eastAsia="en-CA"/>
        </w:rPr>
        <w:drawing>
          <wp:inline distT="0" distB="0" distL="0" distR="0" wp14:anchorId="00B35FB2" wp14:editId="1FB8256A">
            <wp:extent cx="5263641"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1291" cy="3914931"/>
                    </a:xfrm>
                    <a:prstGeom prst="rect">
                      <a:avLst/>
                    </a:prstGeom>
                  </pic:spPr>
                </pic:pic>
              </a:graphicData>
            </a:graphic>
          </wp:inline>
        </w:drawing>
      </w:r>
    </w:p>
    <w:p w14:paraId="6DFDA3C1" w14:textId="3799B286" w:rsidR="0008077F" w:rsidRPr="004756EC" w:rsidRDefault="0008077F" w:rsidP="00532620">
      <w:pPr>
        <w:rPr>
          <w:rFonts w:cs="Times New Roman"/>
          <w:szCs w:val="20"/>
        </w:rPr>
      </w:pPr>
      <w:r w:rsidRPr="00432337">
        <w:rPr>
          <w:rFonts w:cs="Times New Roman"/>
          <w:b/>
          <w:szCs w:val="20"/>
        </w:rPr>
        <w:t>Figure 7.</w:t>
      </w:r>
      <w:r>
        <w:rPr>
          <w:rFonts w:cs="Times New Roman"/>
          <w:szCs w:val="20"/>
        </w:rPr>
        <w:t xml:space="preserve"> </w:t>
      </w:r>
      <w:r w:rsidR="00432337">
        <w:rPr>
          <w:rFonts w:cs="Times New Roman"/>
          <w:szCs w:val="20"/>
        </w:rPr>
        <w:t xml:space="preserve">Model predicted (blue line) versus observed (orange bars) length composition data for the </w:t>
      </w:r>
      <w:proofErr w:type="gramStart"/>
      <w:r w:rsidR="00432337">
        <w:rPr>
          <w:rFonts w:cs="Times New Roman"/>
          <w:szCs w:val="20"/>
        </w:rPr>
        <w:t>other  fleet</w:t>
      </w:r>
      <w:proofErr w:type="gramEnd"/>
      <w:r w:rsidR="00432337">
        <w:rPr>
          <w:rFonts w:cs="Times New Roman"/>
          <w:szCs w:val="20"/>
        </w:rPr>
        <w:t xml:space="preserve"> type (OTH: all non-trap, non-purse seine, non-longline gear group code fisheries from 1960 – 2009). The numbers in the top right hand corner of each panel are the number of observations.</w:t>
      </w:r>
    </w:p>
    <w:sectPr w:rsidR="0008077F" w:rsidRPr="004756EC" w:rsidSect="004756EC">
      <w:headerReference w:type="even" r:id="rId23"/>
      <w:headerReference w:type="default" r:id="rId24"/>
      <w:footerReference w:type="even" r:id="rId25"/>
      <w:footerReference w:type="default" r:id="rId26"/>
      <w:headerReference w:type="first" r:id="rId27"/>
      <w:footerReference w:type="first" r:id="rId28"/>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C0E67D" w14:textId="77777777" w:rsidR="00042CBB" w:rsidRDefault="00042CBB" w:rsidP="003B5FF7">
      <w:r>
        <w:separator/>
      </w:r>
    </w:p>
  </w:endnote>
  <w:endnote w:type="continuationSeparator" w:id="0">
    <w:p w14:paraId="5EF96D93" w14:textId="77777777" w:rsidR="00042CBB" w:rsidRDefault="00042CBB"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35554" w14:textId="77777777" w:rsidR="003923A6" w:rsidRDefault="003923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B9A5B" w14:textId="77777777" w:rsidR="003923A6" w:rsidRDefault="003923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F7218" w14:textId="77777777" w:rsidR="003923A6" w:rsidRDefault="003923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D8E106" w14:textId="77777777" w:rsidR="00042CBB" w:rsidRDefault="00042CBB" w:rsidP="003B5FF7">
      <w:r>
        <w:separator/>
      </w:r>
    </w:p>
  </w:footnote>
  <w:footnote w:type="continuationSeparator" w:id="0">
    <w:p w14:paraId="7645ADC1" w14:textId="77777777" w:rsidR="00042CBB" w:rsidRDefault="00042CBB" w:rsidP="003B5FF7">
      <w:r>
        <w:continuationSeparator/>
      </w:r>
    </w:p>
  </w:footnote>
  <w:footnote w:id="1">
    <w:p w14:paraId="674705A9" w14:textId="7777777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 Canada, V6T 1Z4. t.carruthers@fisheries.ubc.ca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6396C" w14:textId="77777777" w:rsidR="003923A6" w:rsidRDefault="003923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A955" w14:textId="77777777" w:rsidR="003923A6" w:rsidRDefault="003923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8DE31" w14:textId="5F8F6CDB" w:rsidR="00042CBB" w:rsidRDefault="000E47FD" w:rsidP="00532620">
    <w:pPr>
      <w:pStyle w:val="Header"/>
    </w:pPr>
    <w:r>
      <w:t>SCRS/2016</w:t>
    </w:r>
    <w:r w:rsidR="00042CBB">
      <w:t>/</w:t>
    </w:r>
    <w:r w:rsidR="00494985">
      <w:t>XX</w:t>
    </w:r>
    <w:r w:rsidR="003923A6">
      <w:t>3</w:t>
    </w:r>
    <w:r w:rsidR="00042CBB">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FF7"/>
    <w:rsid w:val="000011D7"/>
    <w:rsid w:val="00003814"/>
    <w:rsid w:val="00020915"/>
    <w:rsid w:val="00042CBB"/>
    <w:rsid w:val="00043093"/>
    <w:rsid w:val="00050A47"/>
    <w:rsid w:val="00055D6E"/>
    <w:rsid w:val="00056C23"/>
    <w:rsid w:val="000653A6"/>
    <w:rsid w:val="00067A24"/>
    <w:rsid w:val="0008077F"/>
    <w:rsid w:val="00080DA7"/>
    <w:rsid w:val="00081C2C"/>
    <w:rsid w:val="00084F94"/>
    <w:rsid w:val="000934A5"/>
    <w:rsid w:val="00093AFC"/>
    <w:rsid w:val="0009646D"/>
    <w:rsid w:val="0009732A"/>
    <w:rsid w:val="000A0737"/>
    <w:rsid w:val="000A76F9"/>
    <w:rsid w:val="000B5BE3"/>
    <w:rsid w:val="000C05C8"/>
    <w:rsid w:val="000C33E3"/>
    <w:rsid w:val="000C50C8"/>
    <w:rsid w:val="000D04AD"/>
    <w:rsid w:val="000D5648"/>
    <w:rsid w:val="000E1796"/>
    <w:rsid w:val="000E26B5"/>
    <w:rsid w:val="000E4153"/>
    <w:rsid w:val="000E47FD"/>
    <w:rsid w:val="000E6A92"/>
    <w:rsid w:val="00100749"/>
    <w:rsid w:val="001078F2"/>
    <w:rsid w:val="001140E8"/>
    <w:rsid w:val="00115297"/>
    <w:rsid w:val="001174AE"/>
    <w:rsid w:val="00130A5A"/>
    <w:rsid w:val="00131E4A"/>
    <w:rsid w:val="00134F0A"/>
    <w:rsid w:val="001470B2"/>
    <w:rsid w:val="00161EDF"/>
    <w:rsid w:val="00162545"/>
    <w:rsid w:val="00164EA7"/>
    <w:rsid w:val="00167A82"/>
    <w:rsid w:val="00171055"/>
    <w:rsid w:val="001A3E5E"/>
    <w:rsid w:val="001C48D6"/>
    <w:rsid w:val="001D087F"/>
    <w:rsid w:val="001E4B58"/>
    <w:rsid w:val="001F6BC1"/>
    <w:rsid w:val="002001C1"/>
    <w:rsid w:val="002040E4"/>
    <w:rsid w:val="00210DEC"/>
    <w:rsid w:val="00220820"/>
    <w:rsid w:val="0022570B"/>
    <w:rsid w:val="00225C0D"/>
    <w:rsid w:val="002432F1"/>
    <w:rsid w:val="00254E45"/>
    <w:rsid w:val="00257E20"/>
    <w:rsid w:val="00290FDD"/>
    <w:rsid w:val="002A091D"/>
    <w:rsid w:val="002A330E"/>
    <w:rsid w:val="002B2980"/>
    <w:rsid w:val="002B677A"/>
    <w:rsid w:val="002C26C5"/>
    <w:rsid w:val="002D53D1"/>
    <w:rsid w:val="002E3C7E"/>
    <w:rsid w:val="002E4D73"/>
    <w:rsid w:val="002F0BD2"/>
    <w:rsid w:val="002F5DBD"/>
    <w:rsid w:val="00303614"/>
    <w:rsid w:val="00314D48"/>
    <w:rsid w:val="003173A4"/>
    <w:rsid w:val="003263DA"/>
    <w:rsid w:val="00344FA6"/>
    <w:rsid w:val="0035416E"/>
    <w:rsid w:val="00364DF5"/>
    <w:rsid w:val="003720A2"/>
    <w:rsid w:val="00372423"/>
    <w:rsid w:val="003747A2"/>
    <w:rsid w:val="00380CA6"/>
    <w:rsid w:val="0038115E"/>
    <w:rsid w:val="0039034E"/>
    <w:rsid w:val="003923A6"/>
    <w:rsid w:val="0039736D"/>
    <w:rsid w:val="003976A0"/>
    <w:rsid w:val="003B284A"/>
    <w:rsid w:val="003B3485"/>
    <w:rsid w:val="003B3A82"/>
    <w:rsid w:val="003B5FF7"/>
    <w:rsid w:val="003C03A3"/>
    <w:rsid w:val="003C4CB6"/>
    <w:rsid w:val="003C506D"/>
    <w:rsid w:val="003E40ED"/>
    <w:rsid w:val="003E4FCD"/>
    <w:rsid w:val="003E5F26"/>
    <w:rsid w:val="003F373C"/>
    <w:rsid w:val="00401491"/>
    <w:rsid w:val="004317EA"/>
    <w:rsid w:val="00431E5A"/>
    <w:rsid w:val="00432337"/>
    <w:rsid w:val="004470FD"/>
    <w:rsid w:val="00464908"/>
    <w:rsid w:val="00464EFF"/>
    <w:rsid w:val="004713B1"/>
    <w:rsid w:val="004756EC"/>
    <w:rsid w:val="004777D4"/>
    <w:rsid w:val="0048083A"/>
    <w:rsid w:val="00482486"/>
    <w:rsid w:val="00483C1F"/>
    <w:rsid w:val="00494985"/>
    <w:rsid w:val="00497C25"/>
    <w:rsid w:val="004A0CAE"/>
    <w:rsid w:val="004A4FB1"/>
    <w:rsid w:val="004B4540"/>
    <w:rsid w:val="004B78AA"/>
    <w:rsid w:val="004C73F2"/>
    <w:rsid w:val="004D02A3"/>
    <w:rsid w:val="004D0836"/>
    <w:rsid w:val="004E17B7"/>
    <w:rsid w:val="004E3BA9"/>
    <w:rsid w:val="004E581E"/>
    <w:rsid w:val="004F2B7B"/>
    <w:rsid w:val="004F2E5E"/>
    <w:rsid w:val="004F5D3E"/>
    <w:rsid w:val="005002CF"/>
    <w:rsid w:val="0050335F"/>
    <w:rsid w:val="00510971"/>
    <w:rsid w:val="00511CD7"/>
    <w:rsid w:val="00522D79"/>
    <w:rsid w:val="00532620"/>
    <w:rsid w:val="00533448"/>
    <w:rsid w:val="0054232D"/>
    <w:rsid w:val="005437D9"/>
    <w:rsid w:val="0054419F"/>
    <w:rsid w:val="00550C43"/>
    <w:rsid w:val="0055151B"/>
    <w:rsid w:val="00564D64"/>
    <w:rsid w:val="005650BF"/>
    <w:rsid w:val="005739D3"/>
    <w:rsid w:val="005762FD"/>
    <w:rsid w:val="00576762"/>
    <w:rsid w:val="005826EB"/>
    <w:rsid w:val="005871A1"/>
    <w:rsid w:val="005914B3"/>
    <w:rsid w:val="0059637F"/>
    <w:rsid w:val="005B05B5"/>
    <w:rsid w:val="005B39D3"/>
    <w:rsid w:val="005B4ECC"/>
    <w:rsid w:val="005D7DB9"/>
    <w:rsid w:val="005E5E5B"/>
    <w:rsid w:val="005F3661"/>
    <w:rsid w:val="005F5C39"/>
    <w:rsid w:val="00610D95"/>
    <w:rsid w:val="00620BA6"/>
    <w:rsid w:val="006210F2"/>
    <w:rsid w:val="00634253"/>
    <w:rsid w:val="00644C5B"/>
    <w:rsid w:val="00664465"/>
    <w:rsid w:val="00675895"/>
    <w:rsid w:val="00685503"/>
    <w:rsid w:val="00685691"/>
    <w:rsid w:val="006A6C8C"/>
    <w:rsid w:val="006A7E40"/>
    <w:rsid w:val="006B6F0D"/>
    <w:rsid w:val="006C5735"/>
    <w:rsid w:val="006C6862"/>
    <w:rsid w:val="006E29AC"/>
    <w:rsid w:val="006E4B5F"/>
    <w:rsid w:val="006E5BE6"/>
    <w:rsid w:val="006E77F7"/>
    <w:rsid w:val="006F30E4"/>
    <w:rsid w:val="006F4A4C"/>
    <w:rsid w:val="007022A4"/>
    <w:rsid w:val="007062FC"/>
    <w:rsid w:val="007114C1"/>
    <w:rsid w:val="00715388"/>
    <w:rsid w:val="00716E79"/>
    <w:rsid w:val="0072628C"/>
    <w:rsid w:val="007334BB"/>
    <w:rsid w:val="00733AB3"/>
    <w:rsid w:val="00742069"/>
    <w:rsid w:val="00745B9E"/>
    <w:rsid w:val="00757508"/>
    <w:rsid w:val="007749F6"/>
    <w:rsid w:val="00776CDD"/>
    <w:rsid w:val="00791219"/>
    <w:rsid w:val="007A013E"/>
    <w:rsid w:val="007A3F4B"/>
    <w:rsid w:val="007A7839"/>
    <w:rsid w:val="007B7873"/>
    <w:rsid w:val="007C1C06"/>
    <w:rsid w:val="007C2474"/>
    <w:rsid w:val="007C46DC"/>
    <w:rsid w:val="007C6DC3"/>
    <w:rsid w:val="007C6F24"/>
    <w:rsid w:val="007D027C"/>
    <w:rsid w:val="007D2903"/>
    <w:rsid w:val="007D4877"/>
    <w:rsid w:val="007E7059"/>
    <w:rsid w:val="008072A0"/>
    <w:rsid w:val="00813AA2"/>
    <w:rsid w:val="008365CB"/>
    <w:rsid w:val="00850F72"/>
    <w:rsid w:val="008551EA"/>
    <w:rsid w:val="00855BB1"/>
    <w:rsid w:val="00855C79"/>
    <w:rsid w:val="008616B9"/>
    <w:rsid w:val="00864211"/>
    <w:rsid w:val="008642A0"/>
    <w:rsid w:val="00873FC7"/>
    <w:rsid w:val="00876EE9"/>
    <w:rsid w:val="00880F9E"/>
    <w:rsid w:val="00893193"/>
    <w:rsid w:val="00894973"/>
    <w:rsid w:val="00897095"/>
    <w:rsid w:val="008A150E"/>
    <w:rsid w:val="008A2FBD"/>
    <w:rsid w:val="008C3CDC"/>
    <w:rsid w:val="008D1515"/>
    <w:rsid w:val="008E5E0C"/>
    <w:rsid w:val="008E62E2"/>
    <w:rsid w:val="00905E47"/>
    <w:rsid w:val="00906B8D"/>
    <w:rsid w:val="00912187"/>
    <w:rsid w:val="00912EB6"/>
    <w:rsid w:val="00916F2A"/>
    <w:rsid w:val="00933F51"/>
    <w:rsid w:val="00951331"/>
    <w:rsid w:val="00952F03"/>
    <w:rsid w:val="00960020"/>
    <w:rsid w:val="00960681"/>
    <w:rsid w:val="00961255"/>
    <w:rsid w:val="009615A4"/>
    <w:rsid w:val="00985752"/>
    <w:rsid w:val="00986B74"/>
    <w:rsid w:val="0099189C"/>
    <w:rsid w:val="009A19DF"/>
    <w:rsid w:val="009A6B0C"/>
    <w:rsid w:val="009C72C9"/>
    <w:rsid w:val="009E0C4D"/>
    <w:rsid w:val="00A10C68"/>
    <w:rsid w:val="00A215AA"/>
    <w:rsid w:val="00A251F1"/>
    <w:rsid w:val="00A31F64"/>
    <w:rsid w:val="00A33F3B"/>
    <w:rsid w:val="00A358A5"/>
    <w:rsid w:val="00A51154"/>
    <w:rsid w:val="00A54837"/>
    <w:rsid w:val="00A56824"/>
    <w:rsid w:val="00A60829"/>
    <w:rsid w:val="00A63733"/>
    <w:rsid w:val="00A6723A"/>
    <w:rsid w:val="00A76E65"/>
    <w:rsid w:val="00A80759"/>
    <w:rsid w:val="00A82BF9"/>
    <w:rsid w:val="00A85A82"/>
    <w:rsid w:val="00A87707"/>
    <w:rsid w:val="00A94FD9"/>
    <w:rsid w:val="00AA0CF4"/>
    <w:rsid w:val="00AA5092"/>
    <w:rsid w:val="00AA662A"/>
    <w:rsid w:val="00AB0827"/>
    <w:rsid w:val="00AB5977"/>
    <w:rsid w:val="00AD1903"/>
    <w:rsid w:val="00AD3350"/>
    <w:rsid w:val="00AD5D48"/>
    <w:rsid w:val="00AF0D7B"/>
    <w:rsid w:val="00B0596A"/>
    <w:rsid w:val="00B10132"/>
    <w:rsid w:val="00B167A1"/>
    <w:rsid w:val="00B17CCA"/>
    <w:rsid w:val="00B217AD"/>
    <w:rsid w:val="00B23B8F"/>
    <w:rsid w:val="00B26AAC"/>
    <w:rsid w:val="00B32763"/>
    <w:rsid w:val="00B34E48"/>
    <w:rsid w:val="00B45620"/>
    <w:rsid w:val="00B469B7"/>
    <w:rsid w:val="00B50215"/>
    <w:rsid w:val="00B57376"/>
    <w:rsid w:val="00B67E87"/>
    <w:rsid w:val="00B96C8E"/>
    <w:rsid w:val="00BF285B"/>
    <w:rsid w:val="00BF3D0A"/>
    <w:rsid w:val="00C10ECE"/>
    <w:rsid w:val="00C13CE4"/>
    <w:rsid w:val="00C176E2"/>
    <w:rsid w:val="00C26884"/>
    <w:rsid w:val="00C32691"/>
    <w:rsid w:val="00C32C8D"/>
    <w:rsid w:val="00C42C69"/>
    <w:rsid w:val="00C431A5"/>
    <w:rsid w:val="00C50131"/>
    <w:rsid w:val="00C546AA"/>
    <w:rsid w:val="00C617D5"/>
    <w:rsid w:val="00C61DEB"/>
    <w:rsid w:val="00C65AF3"/>
    <w:rsid w:val="00C705E7"/>
    <w:rsid w:val="00C84014"/>
    <w:rsid w:val="00C86D0E"/>
    <w:rsid w:val="00C90B86"/>
    <w:rsid w:val="00C92B21"/>
    <w:rsid w:val="00C94730"/>
    <w:rsid w:val="00CB7306"/>
    <w:rsid w:val="00CC712A"/>
    <w:rsid w:val="00CD3904"/>
    <w:rsid w:val="00CE4CCB"/>
    <w:rsid w:val="00CF0E69"/>
    <w:rsid w:val="00CF34C5"/>
    <w:rsid w:val="00D06964"/>
    <w:rsid w:val="00D06DBA"/>
    <w:rsid w:val="00D14E1C"/>
    <w:rsid w:val="00D17714"/>
    <w:rsid w:val="00D2021E"/>
    <w:rsid w:val="00D24E3B"/>
    <w:rsid w:val="00D27EB2"/>
    <w:rsid w:val="00D35A60"/>
    <w:rsid w:val="00D41512"/>
    <w:rsid w:val="00D60CB4"/>
    <w:rsid w:val="00D614C3"/>
    <w:rsid w:val="00D62708"/>
    <w:rsid w:val="00D633DD"/>
    <w:rsid w:val="00D7061C"/>
    <w:rsid w:val="00D74907"/>
    <w:rsid w:val="00D948D9"/>
    <w:rsid w:val="00DA2CD0"/>
    <w:rsid w:val="00DA3073"/>
    <w:rsid w:val="00DB0B76"/>
    <w:rsid w:val="00DB4900"/>
    <w:rsid w:val="00DC6DC0"/>
    <w:rsid w:val="00DD133B"/>
    <w:rsid w:val="00DD5ECC"/>
    <w:rsid w:val="00DE7858"/>
    <w:rsid w:val="00DE7B9B"/>
    <w:rsid w:val="00DF42DD"/>
    <w:rsid w:val="00DF4318"/>
    <w:rsid w:val="00E0013C"/>
    <w:rsid w:val="00E043A6"/>
    <w:rsid w:val="00E169B6"/>
    <w:rsid w:val="00E16B97"/>
    <w:rsid w:val="00E24679"/>
    <w:rsid w:val="00E43682"/>
    <w:rsid w:val="00E44C09"/>
    <w:rsid w:val="00E46071"/>
    <w:rsid w:val="00E610E5"/>
    <w:rsid w:val="00E61BCE"/>
    <w:rsid w:val="00E6272D"/>
    <w:rsid w:val="00E62E41"/>
    <w:rsid w:val="00E74C0F"/>
    <w:rsid w:val="00E83F6D"/>
    <w:rsid w:val="00E84286"/>
    <w:rsid w:val="00E9708D"/>
    <w:rsid w:val="00E97182"/>
    <w:rsid w:val="00EC4BE6"/>
    <w:rsid w:val="00EC4C81"/>
    <w:rsid w:val="00ED7359"/>
    <w:rsid w:val="00ED7804"/>
    <w:rsid w:val="00EE22E3"/>
    <w:rsid w:val="00EF1ACD"/>
    <w:rsid w:val="00F16A2B"/>
    <w:rsid w:val="00F16B3D"/>
    <w:rsid w:val="00F17330"/>
    <w:rsid w:val="00F25AC3"/>
    <w:rsid w:val="00F40FE5"/>
    <w:rsid w:val="00F6334C"/>
    <w:rsid w:val="00F637E9"/>
    <w:rsid w:val="00F657BD"/>
    <w:rsid w:val="00F76789"/>
    <w:rsid w:val="00F91ADF"/>
    <w:rsid w:val="00F9468C"/>
    <w:rsid w:val="00FD0179"/>
    <w:rsid w:val="00FD4D6D"/>
    <w:rsid w:val="00FE0BB4"/>
    <w:rsid w:val="00FE0F41"/>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emf"/><Relationship Id="rId18" Type="http://schemas.openxmlformats.org/officeDocument/2006/relationships/image" Target="media/image6.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code.google.com/p/iscam-project/" TargetMode="External"/><Relationship Id="rId17" Type="http://schemas.openxmlformats.org/officeDocument/2006/relationships/image" Target="media/image5.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ccat.int/Data/t2ce-ENG.pdf"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www.iccat.int/Documents/Meetings/Docs/BFT_DATA_PREP_2015_eng.pdf"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https://www.iccat.int/Documents/SCRS/ExecSum/BFT_EN.pdf"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14D38-9377-4015-AC5F-2064F7817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11</Pages>
  <Words>3035</Words>
  <Characters>17301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TomFast</dc:creator>
  <cp:lastModifiedBy>Tom Carruthers</cp:lastModifiedBy>
  <cp:revision>5</cp:revision>
  <cp:lastPrinted>2015-09-16T15:42:00Z</cp:lastPrinted>
  <dcterms:created xsi:type="dcterms:W3CDTF">2016-08-11T18:13:00Z</dcterms:created>
  <dcterms:modified xsi:type="dcterms:W3CDTF">2016-09-15T00:21:00Z</dcterms:modified>
</cp:coreProperties>
</file>